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b w:val="1"/>
          <w:sz w:val="16"/>
        </w:rPr>
      </w:pPr>
      <w:r>
        <w:rPr>
          <w:b w:val="1"/>
          <w:sz w:val="16"/>
        </w:rPr>
        <w:tab/>
      </w:r>
      <w:r>
        <w:rPr>
          <w:b w:val="1"/>
          <w:sz w:val="16"/>
        </w:rPr>
        <w:tab/>
      </w:r>
      <w:r>
        <w:rPr>
          <w:b w:val="1"/>
          <w:sz w:val="16"/>
        </w:rPr>
        <w:tab/>
      </w:r>
      <w:r>
        <w:rPr>
          <w:b w:val="1"/>
          <w:sz w:val="16"/>
        </w:rPr>
        <w:tab/>
      </w:r>
      <w:r>
        <w:rPr>
          <w:b w:val="1"/>
          <w:sz w:val="16"/>
        </w:rPr>
        <w:tab/>
      </w:r>
      <w:r>
        <w:rPr>
          <w:b w:val="1"/>
          <w:sz w:val="16"/>
        </w:rPr>
        <w:tab/>
      </w:r>
      <w:r>
        <w:rPr>
          <w:b w:val="1"/>
          <w:sz w:val="16"/>
        </w:rPr>
        <w:tab/>
      </w:r>
      <w:r>
        <w:rPr>
          <w:b w:val="1"/>
          <w:sz w:val="16"/>
        </w:rPr>
        <w:tab/>
      </w:r>
    </w:p>
    <w:p w14:paraId="04000000">
      <w:pPr>
        <w:widowControl w:val="1"/>
        <w:ind/>
        <w:jc w:val="center"/>
        <w:rPr>
          <w:b w:val="1"/>
          <w:sz w:val="28"/>
        </w:rPr>
      </w:pPr>
      <w:r>
        <w:rPr>
          <w:sz w:val="32"/>
        </w:rPr>
        <w:drawing>
          <wp:inline>
            <wp:extent cx="563626" cy="739648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563626" cy="73964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widowControl w:val="1"/>
        <w:ind/>
        <w:jc w:val="center"/>
        <w:rPr>
          <w:b w:val="1"/>
          <w:sz w:val="28"/>
        </w:rPr>
      </w:pPr>
    </w:p>
    <w:p w14:paraId="06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МОСКОВСКАЯ</w:t>
      </w:r>
      <w:r>
        <w:rPr>
          <w:b w:val="1"/>
          <w:sz w:val="28"/>
        </w:rPr>
        <w:t xml:space="preserve">  </w:t>
      </w:r>
      <w:r>
        <w:rPr>
          <w:b w:val="1"/>
          <w:sz w:val="28"/>
        </w:rPr>
        <w:t>ОБЛАСТЬ</w:t>
      </w:r>
    </w:p>
    <w:p w14:paraId="07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ГОРОДСКОЙ ОКРУГ ЖУКОВСКИЙ</w:t>
      </w:r>
    </w:p>
    <w:p w14:paraId="08000000">
      <w:pPr>
        <w:widowControl w:val="1"/>
        <w:ind/>
        <w:jc w:val="center"/>
        <w:rPr>
          <w:b w:val="1"/>
          <w:sz w:val="18"/>
        </w:rPr>
      </w:pPr>
    </w:p>
    <w:p w14:paraId="09000000">
      <w:pPr>
        <w:widowControl w:val="1"/>
        <w:ind/>
        <w:jc w:val="center"/>
        <w:rPr>
          <w:b w:val="1"/>
          <w:sz w:val="40"/>
        </w:rPr>
      </w:pPr>
      <w:r>
        <w:rPr>
          <w:b w:val="1"/>
          <w:sz w:val="40"/>
        </w:rPr>
        <w:t>АДМИНИСТРАЦИЯ ГОРОДСКОГО ОКРУГА</w:t>
      </w:r>
    </w:p>
    <w:p w14:paraId="0A000000">
      <w:pPr>
        <w:widowControl w:val="1"/>
        <w:ind/>
        <w:jc w:val="center"/>
        <w:rPr>
          <w:b w:val="1"/>
          <w:sz w:val="56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5705</wp:posOffset>
                </wp:positionH>
                <wp:positionV relativeFrom="paragraph">
                  <wp:posOffset>156209</wp:posOffset>
                </wp:positionV>
                <wp:extent cx="6057919" cy="5715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8648">
                          <a:off x="0" y="0"/>
                          <a:ext cx="6057919" cy="571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B000000">
      <w:pPr>
        <w:widowControl w:val="1"/>
        <w:ind/>
        <w:jc w:val="center"/>
        <w:rPr>
          <w:b w:val="1"/>
          <w:sz w:val="32"/>
        </w:rPr>
      </w:pPr>
      <w:r>
        <w:rPr>
          <w:b w:val="1"/>
          <w:sz w:val="32"/>
        </w:rPr>
        <w:t>П О С Т А Н О В Л Е Н И Е</w:t>
      </w:r>
    </w:p>
    <w:p w14:paraId="0C000000">
      <w:pPr>
        <w:widowControl w:val="1"/>
        <w:ind/>
        <w:jc w:val="both"/>
        <w:rPr>
          <w:b w:val="1"/>
          <w:sz w:val="24"/>
        </w:rPr>
      </w:pPr>
    </w:p>
    <w:p w14:paraId="0D000000">
      <w:pPr>
        <w:widowControl w:val="1"/>
        <w:ind/>
        <w:jc w:val="center"/>
        <w:rPr>
          <w:b w:val="1"/>
          <w:sz w:val="24"/>
        </w:rPr>
      </w:pPr>
      <w:r>
        <w:rPr>
          <w:b w:val="1"/>
          <w:sz w:val="24"/>
        </w:rPr>
        <w:t>____________________ № ____________________</w:t>
      </w:r>
    </w:p>
    <w:p w14:paraId="0E000000">
      <w:pPr>
        <w:widowControl w:val="1"/>
        <w:ind/>
        <w:jc w:val="both"/>
      </w:pPr>
    </w:p>
    <w:p w14:paraId="0F000000">
      <w:pPr>
        <w:widowControl w:val="1"/>
        <w:spacing w:line="27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внесении изменений в</w:t>
      </w:r>
      <w:r>
        <w:rPr>
          <w:rFonts w:ascii="Times New Roman" w:hAnsi="Times New Roman"/>
          <w:sz w:val="28"/>
        </w:rPr>
        <w:t xml:space="preserve"> Положение об оплате труда работников муниципальных образовательных организаций городского округа Жуковский</w:t>
      </w:r>
      <w:r>
        <w:rPr>
          <w:rFonts w:ascii="Times New Roman" w:hAnsi="Times New Roman"/>
          <w:sz w:val="28"/>
        </w:rPr>
        <w:t>, осуществляющих образовательную деятельность по образовательным программа дошкольного образования и муниципальных общеобразовательных организаций, подведомственных Управлению образования Администрации городского округа Жуковский и Положение об оплате труда работников муниципальных организаций дополнительного образования городского округа Жуковский, муниципальных общеобразовательных организаций для обучающихся с ограниченными  возможностями здоровья и муниципального учреждения для детей, нуждающихся в психолого-педагогической и медико-социальной помощи</w:t>
      </w:r>
      <w:r>
        <w:rPr>
          <w:rFonts w:ascii="Times New Roman" w:hAnsi="Times New Roman"/>
          <w:sz w:val="28"/>
        </w:rPr>
        <w:t>»</w:t>
      </w:r>
    </w:p>
    <w:p w14:paraId="10000000">
      <w:pPr>
        <w:widowControl w:val="1"/>
        <w:spacing w:line="276" w:lineRule="auto"/>
        <w:ind/>
        <w:rPr>
          <w:rFonts w:ascii="Times New Roman" w:hAnsi="Times New Roman"/>
          <w:b w:val="1"/>
          <w:sz w:val="28"/>
        </w:rPr>
      </w:pPr>
    </w:p>
    <w:p w14:paraId="11000000">
      <w:pPr>
        <w:widowControl w:val="1"/>
        <w:spacing w:line="276" w:lineRule="auto"/>
        <w:ind/>
        <w:jc w:val="center"/>
        <w:rPr>
          <w:rFonts w:ascii="Times New Roman" w:hAnsi="Times New Roman"/>
          <w:sz w:val="28"/>
        </w:rPr>
      </w:pPr>
    </w:p>
    <w:p w14:paraId="12000000">
      <w:pPr>
        <w:widowControl w:val="1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соответствии с Трудовым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 Федеральным законом от 29.12.2012 №273-ФЗ «Об образовании в Российской Федерации», Законом Московской области </w:t>
      </w:r>
      <w:r>
        <w:rPr>
          <w:rFonts w:ascii="Times New Roman" w:hAnsi="Times New Roman"/>
          <w:color w:val="000000"/>
          <w:sz w:val="28"/>
        </w:rPr>
        <w:t xml:space="preserve">от 27.07.2013 </w:t>
      </w:r>
      <w:r>
        <w:rPr>
          <w:rFonts w:ascii="Times New Roman" w:hAnsi="Times New Roman"/>
          <w:color w:val="000000"/>
          <w:sz w:val="28"/>
        </w:rPr>
        <w:t xml:space="preserve">№94/2013-ОЗ «Об образовании», постановлением Правительства Московской </w:t>
      </w:r>
      <w:r>
        <w:rPr>
          <w:rFonts w:ascii="Times New Roman" w:hAnsi="Times New Roman"/>
          <w:color w:val="000000"/>
          <w:sz w:val="28"/>
        </w:rPr>
        <w:t>области от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27.12.2013 №1186</w:t>
      </w:r>
      <w:r>
        <w:rPr>
          <w:rFonts w:ascii="Times New Roman" w:hAnsi="Times New Roman"/>
          <w:color w:val="000000"/>
          <w:sz w:val="28"/>
        </w:rPr>
        <w:t>/58</w:t>
      </w:r>
      <w:r>
        <w:rPr>
          <w:rFonts w:ascii="Times New Roman" w:hAnsi="Times New Roman"/>
          <w:color w:val="000000"/>
          <w:sz w:val="28"/>
        </w:rPr>
        <w:t xml:space="preserve"> «Об оплате труда работников государственных образовательных организаций Московской области», постановлением Правительства Московской области от 23.06.2025 №700-ПП «Об оплате труда работников государственных </w:t>
      </w:r>
      <w:r>
        <w:rPr>
          <w:rFonts w:ascii="Times New Roman" w:hAnsi="Times New Roman"/>
          <w:color w:val="000000"/>
          <w:sz w:val="28"/>
        </w:rPr>
        <w:t>организаций дополнительного образования Московской области, государственных общеобразовательных организаций Московской области, государственных образовательных организаций Московской области, осуществляющих образовательную деятельность по образовательным программам дошкольного образования,</w:t>
      </w:r>
      <w:r>
        <w:rPr>
          <w:rFonts w:ascii="Times New Roman" w:hAnsi="Times New Roman"/>
          <w:color w:val="000000"/>
          <w:sz w:val="28"/>
        </w:rPr>
        <w:t xml:space="preserve"> постановлением Правительства Московской </w:t>
      </w:r>
      <w:r>
        <w:rPr>
          <w:rFonts w:ascii="Times New Roman" w:hAnsi="Times New Roman"/>
          <w:color w:val="000000"/>
          <w:sz w:val="28"/>
        </w:rPr>
        <w:t>области от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29.04.2026 №473-ПП «О внесении изменений в некоторые постановления Правительства Московской области в сфере оплаты труда»</w:t>
      </w:r>
      <w:r>
        <w:rPr>
          <w:rFonts w:ascii="Times New Roman" w:hAnsi="Times New Roman"/>
          <w:color w:val="000000"/>
          <w:sz w:val="28"/>
        </w:rPr>
        <w:t xml:space="preserve">, </w:t>
      </w:r>
    </w:p>
    <w:p w14:paraId="13000000">
      <w:pPr>
        <w:widowControl w:val="1"/>
        <w:spacing w:line="276" w:lineRule="auto"/>
        <w:ind/>
        <w:jc w:val="both"/>
        <w:rPr>
          <w:rFonts w:ascii="Times New Roman" w:hAnsi="Times New Roman"/>
          <w:spacing w:val="-3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</w:t>
      </w:r>
    </w:p>
    <w:p w14:paraId="14000000">
      <w:pPr>
        <w:widowControl w:val="1"/>
        <w:spacing w:line="276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ПОСТАНОВЛЯЮ:</w:t>
      </w:r>
    </w:p>
    <w:p w14:paraId="15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</w:p>
    <w:p w14:paraId="16000000">
      <w:pPr>
        <w:pStyle w:val="Style_2"/>
        <w:widowControl w:val="1"/>
        <w:spacing w:line="276" w:lineRule="auto"/>
        <w:ind w:hanging="36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1.  Внести</w:t>
      </w:r>
      <w:r>
        <w:rPr>
          <w:rFonts w:ascii="Times New Roman" w:hAnsi="Times New Roman"/>
          <w:sz w:val="28"/>
        </w:rPr>
        <w:t xml:space="preserve"> в </w:t>
      </w:r>
      <w:r>
        <w:rPr>
          <w:rFonts w:ascii="Times New Roman" w:hAnsi="Times New Roman"/>
          <w:sz w:val="28"/>
        </w:rPr>
        <w:t>Положение об оплате труда работников муниципальных образовательных организаций городского округа Жуковский, осуществляющих образовательную деятельность по образовательным программа дошкольного образования и муниципальных общеобразовательных организаций, подведомственных Управлению образования Администрации городского округа Жуковский</w:t>
      </w:r>
      <w:r>
        <w:rPr>
          <w:rFonts w:ascii="Times New Roman" w:hAnsi="Times New Roman"/>
          <w:sz w:val="28"/>
        </w:rPr>
        <w:t>, утвержденно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постановлением Администрации городского округа Жуковский </w:t>
      </w:r>
      <w:r>
        <w:rPr>
          <w:rFonts w:ascii="Times New Roman" w:hAnsi="Times New Roman"/>
          <w:sz w:val="28"/>
        </w:rPr>
        <w:t>от </w:t>
      </w:r>
      <w:r>
        <w:rPr>
          <w:rFonts w:ascii="Times New Roman" w:hAnsi="Times New Roman"/>
          <w:sz w:val="28"/>
        </w:rPr>
        <w:t>27.06.2025</w:t>
      </w:r>
      <w:r>
        <w:rPr>
          <w:rFonts w:ascii="Times New Roman" w:hAnsi="Times New Roman"/>
          <w:sz w:val="28"/>
        </w:rPr>
        <w:t xml:space="preserve"> № 1</w:t>
      </w:r>
      <w:r>
        <w:rPr>
          <w:rFonts w:ascii="Times New Roman" w:hAnsi="Times New Roman"/>
          <w:sz w:val="28"/>
        </w:rPr>
        <w:t>001</w:t>
      </w:r>
      <w:r>
        <w:rPr>
          <w:rFonts w:ascii="Times New Roman" w:hAnsi="Times New Roman"/>
          <w:sz w:val="28"/>
        </w:rPr>
        <w:t xml:space="preserve"> «Об оплате труда работников муниципальных образовательных организаций городского округа Жуковский»</w:t>
      </w:r>
      <w:r>
        <w:rPr>
          <w:rFonts w:ascii="Times New Roman" w:hAnsi="Times New Roman"/>
          <w:sz w:val="28"/>
        </w:rPr>
        <w:t xml:space="preserve"> (в</w:t>
      </w:r>
      <w:r>
        <w:rPr>
          <w:rFonts w:ascii="Times New Roman" w:hAnsi="Times New Roman"/>
          <w:sz w:val="28"/>
        </w:rPr>
        <w:t xml:space="preserve"> редакции Постановления Администрации городского округа Жуковский от 06.10.2025 №1494, </w:t>
      </w:r>
      <w:r>
        <w:rPr>
          <w:rFonts w:ascii="Times New Roman" w:hAnsi="Times New Roman"/>
          <w:sz w:val="28"/>
        </w:rPr>
        <w:t>Постановления Администрации городского округа Жуковский от 19.12.2025 №1977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(далее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Положение</w:t>
      </w:r>
      <w:r>
        <w:rPr>
          <w:rFonts w:ascii="Times New Roman" w:hAnsi="Times New Roman"/>
          <w:sz w:val="28"/>
        </w:rPr>
        <w:t xml:space="preserve"> 1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</w:t>
      </w:r>
      <w:r>
        <w:rPr>
          <w:rFonts w:ascii="Times New Roman" w:hAnsi="Times New Roman"/>
          <w:sz w:val="28"/>
        </w:rPr>
        <w:t>е изменени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:</w:t>
      </w:r>
    </w:p>
    <w:p w14:paraId="17000000">
      <w:pPr>
        <w:widowControl w:val="1"/>
        <w:tabs>
          <w:tab w:leader="none" w:pos="720" w:val="left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</w:t>
      </w:r>
      <w:r>
        <w:rPr>
          <w:rFonts w:ascii="Times New Roman" w:hAnsi="Times New Roman"/>
          <w:sz w:val="28"/>
        </w:rPr>
        <w:t xml:space="preserve">абзац пятый пункта 2 раздела </w:t>
      </w:r>
      <w:r>
        <w:rPr>
          <w:rFonts w:ascii="Times New Roman" w:hAnsi="Times New Roman"/>
          <w:sz w:val="28"/>
        </w:rPr>
        <w:t xml:space="preserve">I </w:t>
      </w:r>
      <w:r>
        <w:rPr>
          <w:rFonts w:ascii="Times New Roman" w:hAnsi="Times New Roman"/>
          <w:sz w:val="28"/>
        </w:rPr>
        <w:t>Положения 1 изложить в следующей редакции:</w:t>
      </w:r>
    </w:p>
    <w:p w14:paraId="18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«виды, </w:t>
      </w:r>
      <w:r>
        <w:rPr>
          <w:rFonts w:ascii="Times New Roman" w:hAnsi="Times New Roman"/>
          <w:sz w:val="28"/>
        </w:rPr>
        <w:t xml:space="preserve">размеры, </w:t>
      </w:r>
      <w:r>
        <w:rPr>
          <w:rFonts w:ascii="Times New Roman" w:hAnsi="Times New Roman"/>
          <w:sz w:val="28"/>
        </w:rPr>
        <w:t xml:space="preserve">сроки, </w:t>
      </w:r>
      <w:r>
        <w:rPr>
          <w:rFonts w:ascii="Times New Roman" w:hAnsi="Times New Roman"/>
          <w:sz w:val="28"/>
        </w:rPr>
        <w:t xml:space="preserve">основания и  </w:t>
      </w:r>
      <w:r>
        <w:rPr>
          <w:rFonts w:ascii="Times New Roman" w:hAnsi="Times New Roman"/>
          <w:sz w:val="28"/>
        </w:rPr>
        <w:t>условия предоставления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компенсационных и стимулирующих выплат;»;</w:t>
      </w:r>
    </w:p>
    <w:p w14:paraId="19000000">
      <w:pPr>
        <w:widowControl w:val="1"/>
        <w:tabs>
          <w:tab w:leader="none" w:pos="720" w:val="left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 </w:t>
      </w:r>
      <w:r>
        <w:rPr>
          <w:rFonts w:ascii="Times New Roman" w:hAnsi="Times New Roman"/>
          <w:sz w:val="28"/>
        </w:rPr>
        <w:t xml:space="preserve">пункт 5 </w:t>
      </w:r>
      <w:r>
        <w:rPr>
          <w:rFonts w:ascii="Times New Roman" w:hAnsi="Times New Roman"/>
          <w:sz w:val="28"/>
        </w:rPr>
        <w:t xml:space="preserve">раздела </w:t>
      </w:r>
      <w:r>
        <w:rPr>
          <w:rFonts w:ascii="Times New Roman" w:hAnsi="Times New Roman"/>
          <w:sz w:val="28"/>
        </w:rPr>
        <w:t xml:space="preserve">I </w:t>
      </w:r>
      <w:r>
        <w:rPr>
          <w:rFonts w:ascii="Times New Roman" w:hAnsi="Times New Roman"/>
          <w:sz w:val="28"/>
        </w:rPr>
        <w:t xml:space="preserve">Положения 1 </w:t>
      </w:r>
      <w:r>
        <w:rPr>
          <w:rFonts w:ascii="Times New Roman" w:hAnsi="Times New Roman"/>
          <w:sz w:val="28"/>
        </w:rPr>
        <w:t>изложить в следующей редакции:</w:t>
      </w:r>
    </w:p>
    <w:p w14:paraId="1A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«5. Работодатель (или уполномоченнное им лицо) заключает трудовой договор </w:t>
      </w:r>
      <w:r>
        <w:rPr>
          <w:rFonts w:ascii="Times New Roman" w:hAnsi="Times New Roman"/>
          <w:sz w:val="28"/>
        </w:rPr>
        <w:t xml:space="preserve">(дополнительные соглашения к </w:t>
      </w:r>
      <w:r>
        <w:rPr>
          <w:rFonts w:ascii="Times New Roman" w:hAnsi="Times New Roman"/>
          <w:sz w:val="28"/>
        </w:rPr>
        <w:t xml:space="preserve">трудовому договору) с руководителем </w:t>
      </w:r>
      <w:r>
        <w:rPr>
          <w:rFonts w:ascii="Times New Roman" w:hAnsi="Times New Roman"/>
          <w:sz w:val="28"/>
        </w:rPr>
        <w:t xml:space="preserve">образовательной организации, предусматривающий показатели и критерии оценки </w:t>
      </w:r>
      <w:r>
        <w:rPr>
          <w:rFonts w:ascii="Times New Roman" w:hAnsi="Times New Roman"/>
          <w:sz w:val="28"/>
        </w:rPr>
        <w:t xml:space="preserve">эффективности деятельности руководителя образовательной организации, размеры </w:t>
      </w:r>
      <w:r>
        <w:rPr>
          <w:rFonts w:ascii="Times New Roman" w:hAnsi="Times New Roman"/>
          <w:sz w:val="28"/>
        </w:rPr>
        <w:t>и условия назначения ему стимулирующих выплат. »;</w:t>
      </w:r>
    </w:p>
    <w:p w14:paraId="1B000000">
      <w:pPr>
        <w:widowControl w:val="1"/>
        <w:tabs>
          <w:tab w:leader="none" w:pos="720" w:val="left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  </w:t>
      </w:r>
      <w:r>
        <w:rPr>
          <w:rFonts w:ascii="Times New Roman" w:hAnsi="Times New Roman"/>
          <w:sz w:val="28"/>
        </w:rPr>
        <w:t xml:space="preserve">пункт 6 </w:t>
      </w:r>
      <w:r>
        <w:rPr>
          <w:rFonts w:ascii="Times New Roman" w:hAnsi="Times New Roman"/>
          <w:sz w:val="28"/>
        </w:rPr>
        <w:t xml:space="preserve">раздела </w:t>
      </w:r>
      <w:r>
        <w:rPr>
          <w:rFonts w:ascii="Times New Roman" w:hAnsi="Times New Roman"/>
          <w:sz w:val="28"/>
        </w:rPr>
        <w:t xml:space="preserve">I </w:t>
      </w:r>
      <w:r>
        <w:rPr>
          <w:rFonts w:ascii="Times New Roman" w:hAnsi="Times New Roman"/>
          <w:sz w:val="28"/>
        </w:rPr>
        <w:t xml:space="preserve">Положения 1 </w:t>
      </w:r>
      <w:r>
        <w:rPr>
          <w:rFonts w:ascii="Times New Roman" w:hAnsi="Times New Roman"/>
          <w:sz w:val="28"/>
        </w:rPr>
        <w:t>изложить в следующей редакции:</w:t>
      </w:r>
    </w:p>
    <w:p w14:paraId="1C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«6. Руководитель образовательной организации заключает трудовые договоры </w:t>
      </w:r>
      <w:r>
        <w:rPr>
          <w:rFonts w:ascii="Times New Roman" w:hAnsi="Times New Roman"/>
          <w:sz w:val="28"/>
        </w:rPr>
        <w:t xml:space="preserve">(дополнительные соглашения к </w:t>
      </w:r>
      <w:r>
        <w:rPr>
          <w:rFonts w:ascii="Times New Roman" w:hAnsi="Times New Roman"/>
          <w:sz w:val="28"/>
        </w:rPr>
        <w:t xml:space="preserve">трудовым договорам) с работниками </w:t>
      </w:r>
      <w:r>
        <w:rPr>
          <w:rFonts w:ascii="Times New Roman" w:hAnsi="Times New Roman"/>
          <w:sz w:val="28"/>
        </w:rPr>
        <w:t>образовательной организ</w:t>
      </w:r>
      <w:r>
        <w:rPr>
          <w:rFonts w:ascii="Times New Roman" w:hAnsi="Times New Roman"/>
          <w:sz w:val="28"/>
        </w:rPr>
        <w:t xml:space="preserve">ации, предусматривающие показатели и критерии оценки </w:t>
      </w:r>
      <w:r>
        <w:rPr>
          <w:rFonts w:ascii="Times New Roman" w:hAnsi="Times New Roman"/>
          <w:sz w:val="28"/>
        </w:rPr>
        <w:t xml:space="preserve">эффективности деятельности работников образовательной организации, размеры </w:t>
      </w:r>
      <w:r>
        <w:rPr>
          <w:rFonts w:ascii="Times New Roman" w:hAnsi="Times New Roman"/>
          <w:sz w:val="28"/>
        </w:rPr>
        <w:t>условия назначения им стимулирующих выплат. »;</w:t>
      </w:r>
    </w:p>
    <w:p w14:paraId="1D000000">
      <w:pPr>
        <w:widowControl w:val="1"/>
        <w:tabs>
          <w:tab w:leader="none" w:pos="720" w:val="left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</w:t>
      </w:r>
      <w:r>
        <w:rPr>
          <w:rFonts w:ascii="Times New Roman" w:hAnsi="Times New Roman"/>
          <w:sz w:val="28"/>
        </w:rPr>
        <w:t xml:space="preserve"> в наименовании раздела III </w:t>
      </w:r>
      <w:r>
        <w:rPr>
          <w:rFonts w:ascii="Times New Roman" w:hAnsi="Times New Roman"/>
          <w:sz w:val="28"/>
        </w:rPr>
        <w:t xml:space="preserve">Положения 1 </w:t>
      </w:r>
      <w:r>
        <w:rPr>
          <w:rFonts w:ascii="Times New Roman" w:hAnsi="Times New Roman"/>
          <w:sz w:val="28"/>
        </w:rPr>
        <w:t>слова «выплат компенсационного</w:t>
      </w:r>
      <w:r>
        <w:rPr>
          <w:rFonts w:ascii="Times New Roman" w:hAnsi="Times New Roman"/>
          <w:sz w:val="28"/>
        </w:rPr>
        <w:t xml:space="preserve"> характера»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заменить словами «компенсационных выплат»;</w:t>
      </w:r>
    </w:p>
    <w:p w14:paraId="1E000000">
      <w:pPr>
        <w:widowControl w:val="1"/>
        <w:tabs>
          <w:tab w:leader="none" w:pos="720" w:val="left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</w:t>
      </w:r>
      <w:r>
        <w:rPr>
          <w:rFonts w:ascii="Times New Roman" w:hAnsi="Times New Roman"/>
          <w:sz w:val="28"/>
        </w:rPr>
        <w:t xml:space="preserve"> в пункте 25 </w:t>
      </w:r>
      <w:r>
        <w:rPr>
          <w:rFonts w:ascii="Times New Roman" w:hAnsi="Times New Roman"/>
          <w:sz w:val="28"/>
        </w:rPr>
        <w:t xml:space="preserve">раздела III </w:t>
      </w:r>
      <w:r>
        <w:rPr>
          <w:rFonts w:ascii="Times New Roman" w:hAnsi="Times New Roman"/>
          <w:sz w:val="28"/>
        </w:rPr>
        <w:t>Положения 1</w:t>
      </w:r>
      <w:r>
        <w:rPr>
          <w:rFonts w:ascii="Times New Roman" w:hAnsi="Times New Roman"/>
          <w:sz w:val="28"/>
        </w:rPr>
        <w:t xml:space="preserve"> слова «выплат компенсационного</w:t>
      </w:r>
      <w:r>
        <w:rPr>
          <w:rFonts w:ascii="Times New Roman" w:hAnsi="Times New Roman"/>
          <w:sz w:val="28"/>
        </w:rPr>
        <w:t xml:space="preserve"> характера» заменить словами </w:t>
      </w:r>
      <w:r>
        <w:rPr>
          <w:rFonts w:ascii="Times New Roman" w:hAnsi="Times New Roman"/>
          <w:sz w:val="28"/>
        </w:rPr>
        <w:t>«компенсационных выплат»;</w:t>
      </w:r>
    </w:p>
    <w:p w14:paraId="1F000000">
      <w:pPr>
        <w:widowControl w:val="1"/>
        <w:tabs>
          <w:tab w:leader="none" w:pos="720" w:val="left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1.6. </w:t>
      </w:r>
      <w:r>
        <w:rPr>
          <w:rFonts w:ascii="Times New Roman" w:hAnsi="Times New Roman"/>
          <w:sz w:val="28"/>
        </w:rPr>
        <w:t xml:space="preserve">в наименовании раздела IV </w:t>
      </w:r>
      <w:r>
        <w:rPr>
          <w:rFonts w:ascii="Times New Roman" w:hAnsi="Times New Roman"/>
          <w:sz w:val="28"/>
        </w:rPr>
        <w:t xml:space="preserve">Положения 1 </w:t>
      </w:r>
      <w:r>
        <w:rPr>
          <w:rFonts w:ascii="Times New Roman" w:hAnsi="Times New Roman"/>
          <w:sz w:val="28"/>
        </w:rPr>
        <w:t>слова «выплат стимулирующего</w:t>
      </w:r>
      <w:r>
        <w:rPr>
          <w:rFonts w:ascii="Times New Roman" w:hAnsi="Times New Roman"/>
          <w:sz w:val="28"/>
        </w:rPr>
        <w:t xml:space="preserve"> характ</w:t>
      </w:r>
      <w:r>
        <w:rPr>
          <w:rFonts w:ascii="Times New Roman" w:hAnsi="Times New Roman"/>
          <w:sz w:val="28"/>
        </w:rPr>
        <w:t xml:space="preserve">ера» </w:t>
      </w:r>
      <w:r>
        <w:rPr>
          <w:rFonts w:ascii="Times New Roman" w:hAnsi="Times New Roman"/>
          <w:sz w:val="28"/>
        </w:rPr>
        <w:t>заменить словами «стимулирующих выплат»;</w:t>
      </w:r>
    </w:p>
    <w:p w14:paraId="20000000">
      <w:pPr>
        <w:widowControl w:val="1"/>
        <w:tabs>
          <w:tab w:leader="none" w:pos="720" w:val="left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1.7. </w:t>
      </w:r>
      <w:r>
        <w:rPr>
          <w:rFonts w:ascii="Times New Roman" w:hAnsi="Times New Roman"/>
          <w:sz w:val="28"/>
        </w:rPr>
        <w:t xml:space="preserve">в абзаце втором пункта 34 </w:t>
      </w:r>
      <w:r>
        <w:rPr>
          <w:rFonts w:ascii="Times New Roman" w:hAnsi="Times New Roman"/>
          <w:sz w:val="28"/>
        </w:rPr>
        <w:t>раздела IV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Положения 1</w:t>
      </w:r>
      <w:r>
        <w:rPr>
          <w:rFonts w:ascii="Times New Roman" w:hAnsi="Times New Roman"/>
          <w:sz w:val="28"/>
        </w:rPr>
        <w:t xml:space="preserve"> слова «выплат</w:t>
      </w:r>
      <w:r>
        <w:rPr>
          <w:rFonts w:ascii="Times New Roman" w:hAnsi="Times New Roman"/>
          <w:sz w:val="28"/>
        </w:rPr>
        <w:t xml:space="preserve"> стимулирующего характера» </w:t>
      </w:r>
      <w:r>
        <w:rPr>
          <w:rFonts w:ascii="Times New Roman" w:hAnsi="Times New Roman"/>
          <w:sz w:val="28"/>
        </w:rPr>
        <w:t>заменить словами «стимулирующих выплат»;</w:t>
      </w:r>
    </w:p>
    <w:p w14:paraId="21000000">
      <w:pPr>
        <w:widowControl w:val="1"/>
        <w:spacing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1.8.</w:t>
      </w:r>
      <w:r>
        <w:rPr>
          <w:sz w:val="28"/>
        </w:rPr>
        <w:t xml:space="preserve"> пункт 35 </w:t>
      </w:r>
      <w:r>
        <w:rPr>
          <w:rFonts w:ascii="Times New Roman" w:hAnsi="Times New Roman"/>
          <w:sz w:val="28"/>
        </w:rPr>
        <w:t>раздела IV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Положения 1</w:t>
      </w:r>
      <w:r>
        <w:rPr>
          <w:sz w:val="28"/>
        </w:rPr>
        <w:t xml:space="preserve"> изложить в следующей редакции:</w:t>
      </w:r>
    </w:p>
    <w:p w14:paraId="22000000">
      <w:pPr>
        <w:widowControl w:val="1"/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            «35. Порядок установлен</w:t>
      </w:r>
      <w:r>
        <w:rPr>
          <w:sz w:val="28"/>
        </w:rPr>
        <w:t xml:space="preserve">ия стимулирующих выплат определяется:  </w:t>
      </w:r>
      <w:r>
        <w:rPr>
          <w:sz w:val="28"/>
        </w:rPr>
        <w:t xml:space="preserve">руководителю образовательной организации </w:t>
      </w:r>
      <w:r>
        <w:rPr>
          <w:sz w:val="28"/>
        </w:rPr>
        <w:t xml:space="preserve">приказом </w:t>
      </w:r>
      <w:r>
        <w:rPr>
          <w:rFonts w:ascii="Times New Roman" w:hAnsi="Times New Roman"/>
          <w:sz w:val="28"/>
        </w:rPr>
        <w:t>Управления образования Администрации городского округа Жуковский</w:t>
      </w:r>
      <w:r>
        <w:rPr>
          <w:sz w:val="28"/>
        </w:rPr>
        <w:t xml:space="preserve">, с учетом результатов выполнения </w:t>
      </w:r>
      <w:r>
        <w:rPr>
          <w:sz w:val="28"/>
        </w:rPr>
        <w:t xml:space="preserve">показателей и критериев оценки эффективности деятельности руководителя </w:t>
      </w:r>
      <w:r>
        <w:rPr>
          <w:sz w:val="28"/>
        </w:rPr>
        <w:t xml:space="preserve">образовательной организации, определенных </w:t>
      </w:r>
      <w:r>
        <w:rPr>
          <w:sz w:val="28"/>
        </w:rPr>
        <w:t>Управлением образования Администрации городского округа Жуковский</w:t>
      </w:r>
      <w:r>
        <w:rPr>
          <w:sz w:val="28"/>
        </w:rPr>
        <w:t xml:space="preserve">, в ведомственном подчинении которого находится </w:t>
      </w:r>
      <w:r>
        <w:rPr>
          <w:sz w:val="28"/>
        </w:rPr>
        <w:t>образовательная организация;</w:t>
      </w:r>
    </w:p>
    <w:p w14:paraId="23000000">
      <w:pPr>
        <w:widowControl w:val="1"/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           работникам образовательной организации - локальным</w:t>
      </w:r>
      <w:r>
        <w:rPr>
          <w:sz w:val="28"/>
        </w:rPr>
        <w:t xml:space="preserve"> нормативным актом </w:t>
      </w:r>
      <w:r>
        <w:rPr>
          <w:sz w:val="28"/>
        </w:rPr>
        <w:t xml:space="preserve">образовательной организации с учетом выполнения показателей и критериев оценки </w:t>
      </w:r>
      <w:r>
        <w:rPr>
          <w:sz w:val="28"/>
        </w:rPr>
        <w:t xml:space="preserve">эффективности </w:t>
      </w:r>
      <w:r>
        <w:rPr>
          <w:sz w:val="28"/>
        </w:rPr>
        <w:t xml:space="preserve">деятельности </w:t>
      </w:r>
      <w:r>
        <w:rPr>
          <w:sz w:val="28"/>
        </w:rPr>
        <w:t xml:space="preserve">работников </w:t>
      </w:r>
      <w:r>
        <w:rPr>
          <w:sz w:val="28"/>
        </w:rPr>
        <w:t xml:space="preserve">образовательной </w:t>
      </w:r>
      <w:r>
        <w:rPr>
          <w:sz w:val="28"/>
        </w:rPr>
        <w:t xml:space="preserve">организации, </w:t>
      </w:r>
      <w:r>
        <w:rPr>
          <w:sz w:val="28"/>
        </w:rPr>
        <w:t xml:space="preserve">установленных локальными нормативными актами образовательной организации </w:t>
      </w:r>
      <w:r>
        <w:rPr>
          <w:sz w:val="28"/>
        </w:rPr>
        <w:t xml:space="preserve">учетом мнения представительного органа работников образовательной </w:t>
      </w:r>
      <w:r>
        <w:rPr>
          <w:sz w:val="28"/>
        </w:rPr>
        <w:t>организации или коллективным договором.</w:t>
      </w:r>
    </w:p>
    <w:p w14:paraId="24000000">
      <w:pPr>
        <w:widowControl w:val="1"/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           Руководитель образовательной организации при установлении систем </w:t>
      </w:r>
      <w:r>
        <w:rPr>
          <w:sz w:val="28"/>
        </w:rPr>
        <w:t xml:space="preserve">премирования руководствуется статьей 135 Трудового кодекса Российской </w:t>
      </w:r>
      <w:r>
        <w:rPr>
          <w:sz w:val="28"/>
        </w:rPr>
        <w:t xml:space="preserve">Федерации, настоящим Положением и мнением представительного органа </w:t>
      </w:r>
      <w:r>
        <w:rPr>
          <w:sz w:val="28"/>
        </w:rPr>
        <w:t>работников образовательной организации.»;</w:t>
      </w:r>
    </w:p>
    <w:p w14:paraId="25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1.9. </w:t>
      </w:r>
      <w:r>
        <w:rPr>
          <w:rFonts w:ascii="Times New Roman" w:hAnsi="Times New Roman"/>
          <w:sz w:val="28"/>
        </w:rPr>
        <w:t xml:space="preserve">дополнить пунктами 35.1, 35.2 </w:t>
      </w:r>
      <w:r>
        <w:rPr>
          <w:rFonts w:ascii="Times New Roman" w:hAnsi="Times New Roman"/>
          <w:sz w:val="28"/>
        </w:rPr>
        <w:t>раздела IV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Положения 1 </w:t>
      </w:r>
      <w:r>
        <w:rPr>
          <w:rFonts w:ascii="Times New Roman" w:hAnsi="Times New Roman"/>
          <w:sz w:val="28"/>
        </w:rPr>
        <w:t>следующего содержания:</w:t>
      </w:r>
    </w:p>
    <w:p w14:paraId="26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«35.1 Размеры стимулирующих выплат работникам образовательной </w:t>
      </w:r>
      <w:r>
        <w:rPr>
          <w:rFonts w:ascii="Times New Roman" w:hAnsi="Times New Roman"/>
          <w:sz w:val="28"/>
        </w:rPr>
        <w:t xml:space="preserve">организации устанавливаются в пределах годового фонда оплаты труда </w:t>
      </w:r>
      <w:r>
        <w:rPr>
          <w:rFonts w:ascii="Times New Roman" w:hAnsi="Times New Roman"/>
          <w:sz w:val="28"/>
        </w:rPr>
        <w:t xml:space="preserve">образовательной организации, в соответствии с порядком, указанным в пункте 35 </w:t>
      </w:r>
      <w:r>
        <w:rPr>
          <w:rFonts w:ascii="Times New Roman" w:hAnsi="Times New Roman"/>
          <w:sz w:val="28"/>
        </w:rPr>
        <w:t>настоящего Положения.</w:t>
      </w:r>
    </w:p>
    <w:p w14:paraId="27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Экономия средств фонда оплаты труда может направляться руководителем </w:t>
      </w:r>
      <w:r>
        <w:rPr>
          <w:rFonts w:ascii="Times New Roman" w:hAnsi="Times New Roman"/>
          <w:sz w:val="28"/>
        </w:rPr>
        <w:t xml:space="preserve">образовательной организации на осуществление стимулирующих выплат </w:t>
      </w:r>
      <w:r>
        <w:rPr>
          <w:rFonts w:ascii="Times New Roman" w:hAnsi="Times New Roman"/>
          <w:sz w:val="28"/>
        </w:rPr>
        <w:t xml:space="preserve">работникам образовательной организации в соответствии с установленной системой </w:t>
      </w:r>
      <w:r>
        <w:rPr>
          <w:rFonts w:ascii="Times New Roman" w:hAnsi="Times New Roman"/>
          <w:sz w:val="28"/>
        </w:rPr>
        <w:t>премирования в образовательной организации.</w:t>
      </w:r>
    </w:p>
    <w:p w14:paraId="28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Стимулирующие выплаты осуществляются за счет бюджетных средств и </w:t>
      </w:r>
      <w:r>
        <w:rPr>
          <w:rFonts w:ascii="Times New Roman" w:hAnsi="Times New Roman"/>
          <w:sz w:val="28"/>
        </w:rPr>
        <w:t>средств от приносящей доход деятельности.</w:t>
      </w:r>
    </w:p>
    <w:p w14:paraId="29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Стимулирующие выплаты осуществляются с соблюдением условий, </w:t>
      </w:r>
      <w:r>
        <w:rPr>
          <w:rFonts w:ascii="Times New Roman" w:hAnsi="Times New Roman"/>
          <w:sz w:val="28"/>
        </w:rPr>
        <w:t>установленных пунктами 8 и 9 настоящего Положения.</w:t>
      </w:r>
    </w:p>
    <w:p w14:paraId="2A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35.2 Работникам </w:t>
      </w:r>
      <w:r>
        <w:rPr>
          <w:rFonts w:ascii="Times New Roman" w:hAnsi="Times New Roman"/>
          <w:sz w:val="28"/>
        </w:rPr>
        <w:t xml:space="preserve">образовательной </w:t>
      </w:r>
      <w:r>
        <w:rPr>
          <w:rFonts w:ascii="Times New Roman" w:hAnsi="Times New Roman"/>
          <w:sz w:val="28"/>
        </w:rPr>
        <w:t xml:space="preserve">организации выплачиваются </w:t>
      </w:r>
      <w:r>
        <w:rPr>
          <w:rFonts w:ascii="Times New Roman" w:hAnsi="Times New Roman"/>
          <w:sz w:val="28"/>
        </w:rPr>
        <w:t xml:space="preserve">стимулирующие и иные выплаты в сроки, установленные коллективными </w:t>
      </w:r>
      <w:r>
        <w:rPr>
          <w:rFonts w:ascii="Times New Roman" w:hAnsi="Times New Roman"/>
          <w:sz w:val="28"/>
        </w:rPr>
        <w:t xml:space="preserve">договорами, правилами внутреннего трудового распорядка и трудовыми договорами </w:t>
      </w:r>
      <w:r>
        <w:rPr>
          <w:rFonts w:ascii="Times New Roman" w:hAnsi="Times New Roman"/>
          <w:sz w:val="28"/>
        </w:rPr>
        <w:t xml:space="preserve">с работниками образовательной организации, если иное не установлено трудовым </w:t>
      </w:r>
      <w:r>
        <w:rPr>
          <w:rFonts w:ascii="Times New Roman" w:hAnsi="Times New Roman"/>
          <w:sz w:val="28"/>
        </w:rPr>
        <w:t xml:space="preserve">законодательством Российской Федерации и иными нормативными правовыми </w:t>
      </w:r>
      <w:r>
        <w:rPr>
          <w:rFonts w:ascii="Times New Roman" w:hAnsi="Times New Roman"/>
          <w:sz w:val="28"/>
        </w:rPr>
        <w:t>актами, содержащими нормы трудового права. »;</w:t>
      </w:r>
    </w:p>
    <w:p w14:paraId="2B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1.10. </w:t>
      </w:r>
      <w:r>
        <w:rPr>
          <w:rFonts w:ascii="Times New Roman" w:hAnsi="Times New Roman"/>
          <w:sz w:val="28"/>
        </w:rPr>
        <w:t xml:space="preserve"> в пункте 45 </w:t>
      </w:r>
      <w:r>
        <w:rPr>
          <w:rFonts w:ascii="Times New Roman" w:hAnsi="Times New Roman"/>
          <w:sz w:val="28"/>
        </w:rPr>
        <w:t xml:space="preserve">раздела IV </w:t>
      </w:r>
      <w:r>
        <w:rPr>
          <w:rFonts w:ascii="Times New Roman" w:hAnsi="Times New Roman"/>
          <w:sz w:val="28"/>
        </w:rPr>
        <w:t>Положения 1</w:t>
      </w:r>
      <w:r>
        <w:rPr>
          <w:rFonts w:ascii="Times New Roman" w:hAnsi="Times New Roman"/>
          <w:sz w:val="28"/>
        </w:rPr>
        <w:t xml:space="preserve"> слова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«выплата стимулирующего характера» заменить словами </w:t>
      </w:r>
      <w:r>
        <w:rPr>
          <w:rFonts w:ascii="Times New Roman" w:hAnsi="Times New Roman"/>
          <w:sz w:val="28"/>
        </w:rPr>
        <w:t>«стимулирующая выплата»;</w:t>
      </w:r>
    </w:p>
    <w:p w14:paraId="2C000000">
      <w:pPr>
        <w:widowControl w:val="1"/>
        <w:spacing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1.11. </w:t>
      </w:r>
      <w:r>
        <w:rPr>
          <w:rFonts w:ascii="Times New Roman" w:hAnsi="Times New Roman"/>
          <w:sz w:val="28"/>
        </w:rPr>
        <w:t xml:space="preserve">в Приложении 1 к </w:t>
      </w:r>
      <w:r>
        <w:rPr>
          <w:rFonts w:ascii="Times New Roman" w:hAnsi="Times New Roman"/>
          <w:sz w:val="28"/>
        </w:rPr>
        <w:t>Положению 1</w:t>
      </w:r>
      <w:r>
        <w:rPr>
          <w:rFonts w:ascii="Times New Roman" w:hAnsi="Times New Roman"/>
          <w:sz w:val="28"/>
        </w:rPr>
        <w:t>:</w:t>
      </w:r>
    </w:p>
    <w:p w14:paraId="2D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в абзаце первом </w:t>
      </w:r>
      <w:r>
        <w:rPr>
          <w:rFonts w:ascii="Times New Roman" w:hAnsi="Times New Roman"/>
          <w:sz w:val="28"/>
        </w:rPr>
        <w:t xml:space="preserve">пункта 1 </w:t>
      </w:r>
      <w:r>
        <w:rPr>
          <w:rFonts w:ascii="Times New Roman" w:hAnsi="Times New Roman"/>
          <w:sz w:val="28"/>
        </w:rPr>
        <w:t xml:space="preserve">слова «выплат компенсационного и стимулирующего </w:t>
      </w:r>
      <w:r>
        <w:rPr>
          <w:rFonts w:ascii="Times New Roman" w:hAnsi="Times New Roman"/>
          <w:sz w:val="28"/>
        </w:rPr>
        <w:t>характера» заменить словами «компенсационных и стимулирующих выплат»;</w:t>
      </w:r>
    </w:p>
    <w:p w14:paraId="2E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в абзаце четвертом </w:t>
      </w:r>
      <w:r>
        <w:rPr>
          <w:rFonts w:ascii="Times New Roman" w:hAnsi="Times New Roman"/>
          <w:sz w:val="28"/>
        </w:rPr>
        <w:t xml:space="preserve">пункта 1 </w:t>
      </w:r>
      <w:r>
        <w:rPr>
          <w:rFonts w:ascii="Times New Roman" w:hAnsi="Times New Roman"/>
          <w:sz w:val="28"/>
        </w:rPr>
        <w:t xml:space="preserve">слова «выплаты компенсационного характера и выплаты </w:t>
      </w:r>
      <w:r>
        <w:rPr>
          <w:rFonts w:ascii="Times New Roman" w:hAnsi="Times New Roman"/>
          <w:sz w:val="28"/>
        </w:rPr>
        <w:t xml:space="preserve">стимулирующего характера» заменить словами «компенсационные выплаты и </w:t>
      </w:r>
      <w:r>
        <w:rPr>
          <w:rFonts w:ascii="Times New Roman" w:hAnsi="Times New Roman"/>
          <w:sz w:val="28"/>
        </w:rPr>
        <w:t>стимулирующие выплаты»;</w:t>
      </w:r>
    </w:p>
    <w:p w14:paraId="2F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в абзаце четвертом </w:t>
      </w:r>
      <w:r>
        <w:rPr>
          <w:rFonts w:ascii="Times New Roman" w:hAnsi="Times New Roman"/>
          <w:sz w:val="28"/>
        </w:rPr>
        <w:t>пункта 3</w:t>
      </w:r>
      <w:r>
        <w:rPr>
          <w:rFonts w:ascii="Times New Roman" w:hAnsi="Times New Roman"/>
          <w:sz w:val="28"/>
        </w:rPr>
        <w:t xml:space="preserve"> слова «выплаты компенсационного характера и выплаты </w:t>
      </w:r>
      <w:r>
        <w:rPr>
          <w:rFonts w:ascii="Times New Roman" w:hAnsi="Times New Roman"/>
          <w:sz w:val="28"/>
        </w:rPr>
        <w:t xml:space="preserve">стимулирующего характера» заменить словами «компенсационные выплаты </w:t>
      </w:r>
      <w:r>
        <w:rPr>
          <w:rFonts w:ascii="Times New Roman" w:hAnsi="Times New Roman"/>
          <w:sz w:val="28"/>
        </w:rPr>
        <w:t>стимулирующие выплаты»;</w:t>
      </w:r>
    </w:p>
    <w:p w14:paraId="30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в абзаце пятом </w:t>
      </w:r>
      <w:r>
        <w:rPr>
          <w:rFonts w:ascii="Times New Roman" w:hAnsi="Times New Roman"/>
          <w:sz w:val="28"/>
        </w:rPr>
        <w:t xml:space="preserve">пункта 3 </w:t>
      </w:r>
      <w:r>
        <w:rPr>
          <w:rFonts w:ascii="Times New Roman" w:hAnsi="Times New Roman"/>
          <w:sz w:val="28"/>
        </w:rPr>
        <w:t xml:space="preserve">слова «выплаты компенсационного характера и выплаты </w:t>
      </w:r>
      <w:r>
        <w:rPr>
          <w:rFonts w:ascii="Times New Roman" w:hAnsi="Times New Roman"/>
          <w:sz w:val="28"/>
        </w:rPr>
        <w:t xml:space="preserve">стимулирующего характера» заменить словами «компенсационные выплаты и </w:t>
      </w:r>
      <w:r>
        <w:rPr>
          <w:rFonts w:ascii="Times New Roman" w:hAnsi="Times New Roman"/>
          <w:sz w:val="28"/>
        </w:rPr>
        <w:t>стимулирующие выплаты»;</w:t>
      </w:r>
    </w:p>
    <w:p w14:paraId="31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1.12. </w:t>
      </w:r>
      <w:r>
        <w:rPr>
          <w:rFonts w:ascii="Times New Roman" w:hAnsi="Times New Roman"/>
          <w:sz w:val="28"/>
        </w:rPr>
        <w:t xml:space="preserve">в Приложении 3 к </w:t>
      </w:r>
      <w:r>
        <w:rPr>
          <w:rFonts w:ascii="Times New Roman" w:hAnsi="Times New Roman"/>
          <w:sz w:val="28"/>
        </w:rPr>
        <w:t>Положению 1</w:t>
      </w:r>
      <w:r>
        <w:rPr>
          <w:rFonts w:ascii="Times New Roman" w:hAnsi="Times New Roman"/>
          <w:sz w:val="28"/>
        </w:rPr>
        <w:t>:</w:t>
      </w:r>
    </w:p>
    <w:p w14:paraId="32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в пункте 1 слова «выплаты компенсационного характера» заменить словами </w:t>
      </w:r>
      <w:r>
        <w:rPr>
          <w:rFonts w:ascii="Times New Roman" w:hAnsi="Times New Roman"/>
          <w:sz w:val="28"/>
        </w:rPr>
        <w:t>«компенсационные выплаты»;</w:t>
      </w:r>
    </w:p>
    <w:p w14:paraId="33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в пункте 4 слова «Выплаты компенсационного характера» заменить словами </w:t>
      </w:r>
      <w:r>
        <w:rPr>
          <w:rFonts w:ascii="Times New Roman" w:hAnsi="Times New Roman"/>
          <w:sz w:val="28"/>
        </w:rPr>
        <w:t>«Компенсационные выплаты».</w:t>
      </w:r>
    </w:p>
    <w:p w14:paraId="34000000">
      <w:pPr>
        <w:pStyle w:val="Style_2"/>
        <w:widowControl w:val="1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Внести </w:t>
      </w:r>
      <w:r>
        <w:rPr>
          <w:rFonts w:ascii="Times New Roman" w:hAnsi="Times New Roman"/>
          <w:sz w:val="28"/>
        </w:rPr>
        <w:t xml:space="preserve">в Положение об оплате труда работников муниципальных организаций дополнительного образования городского округа Жуковский, муниципальных общеобразовательных организаций для обучающихся с ограниченными  возможностями здоровья и муниципального учреждения для детей, нуждающихся в психолого-педагогической и медико-социальной помощи, утвержденное постановлением Администрации городского округа Жуковский от 27.06.2025 № 1001 «Об оплате труда работников муниципальных образовательных организаций городского округа Жуковский» </w:t>
      </w: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 xml:space="preserve">в редакции Постановления Администрации городского округа Жуковский от 06.10.2025 №1494, </w:t>
      </w:r>
      <w:r>
        <w:rPr>
          <w:rFonts w:ascii="Times New Roman" w:hAnsi="Times New Roman"/>
          <w:sz w:val="28"/>
        </w:rPr>
        <w:t>Постановления Администрации городского округа Жуковский от 19.12.2025 №1977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(далее – </w:t>
      </w:r>
      <w:r>
        <w:rPr>
          <w:rFonts w:ascii="Times New Roman" w:hAnsi="Times New Roman"/>
          <w:sz w:val="28"/>
        </w:rPr>
        <w:t xml:space="preserve">Положение 2) </w:t>
      </w:r>
      <w:r>
        <w:rPr>
          <w:rFonts w:ascii="Times New Roman" w:hAnsi="Times New Roman"/>
          <w:sz w:val="28"/>
        </w:rPr>
        <w:t>следующ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е изменени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>:</w:t>
      </w:r>
    </w:p>
    <w:p w14:paraId="35000000">
      <w:pPr>
        <w:widowControl w:val="1"/>
        <w:tabs>
          <w:tab w:leader="none" w:pos="720" w:val="left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</w:t>
      </w:r>
      <w:r>
        <w:rPr>
          <w:rFonts w:ascii="Times New Roman" w:hAnsi="Times New Roman"/>
          <w:sz w:val="28"/>
        </w:rPr>
        <w:t xml:space="preserve">абзац третий пункта 2 </w:t>
      </w:r>
      <w:r>
        <w:rPr>
          <w:rFonts w:ascii="Times New Roman" w:hAnsi="Times New Roman"/>
          <w:sz w:val="28"/>
        </w:rPr>
        <w:t xml:space="preserve">раздела </w:t>
      </w:r>
      <w:r>
        <w:rPr>
          <w:rFonts w:ascii="Times New Roman" w:hAnsi="Times New Roman"/>
          <w:sz w:val="28"/>
        </w:rPr>
        <w:t xml:space="preserve">I </w:t>
      </w:r>
      <w:r>
        <w:rPr>
          <w:rFonts w:ascii="Times New Roman" w:hAnsi="Times New Roman"/>
          <w:sz w:val="28"/>
        </w:rPr>
        <w:t>Положения 2 изложить в следующей редакции:</w:t>
      </w:r>
    </w:p>
    <w:p w14:paraId="36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«виды, </w:t>
      </w:r>
      <w:r>
        <w:rPr>
          <w:rFonts w:ascii="Times New Roman" w:hAnsi="Times New Roman"/>
          <w:sz w:val="28"/>
        </w:rPr>
        <w:t xml:space="preserve">размеры, </w:t>
      </w:r>
      <w:r>
        <w:rPr>
          <w:rFonts w:ascii="Times New Roman" w:hAnsi="Times New Roman"/>
          <w:sz w:val="28"/>
        </w:rPr>
        <w:t xml:space="preserve">сроки, </w:t>
      </w:r>
      <w:r>
        <w:rPr>
          <w:rFonts w:ascii="Times New Roman" w:hAnsi="Times New Roman"/>
          <w:sz w:val="28"/>
        </w:rPr>
        <w:t xml:space="preserve">основания и </w:t>
      </w:r>
      <w:r>
        <w:rPr>
          <w:rFonts w:ascii="Times New Roman" w:hAnsi="Times New Roman"/>
          <w:sz w:val="28"/>
        </w:rPr>
        <w:t>условия предоставления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компенсационных и стимулирующих выплат;»;</w:t>
      </w:r>
    </w:p>
    <w:p w14:paraId="37000000">
      <w:pPr>
        <w:widowControl w:val="1"/>
        <w:tabs>
          <w:tab w:leader="none" w:pos="720" w:val="left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 </w:t>
      </w:r>
      <w:r>
        <w:rPr>
          <w:rFonts w:ascii="Times New Roman" w:hAnsi="Times New Roman"/>
          <w:sz w:val="28"/>
        </w:rPr>
        <w:t xml:space="preserve">пункт 3 </w:t>
      </w:r>
      <w:r>
        <w:rPr>
          <w:rFonts w:ascii="Times New Roman" w:hAnsi="Times New Roman"/>
          <w:sz w:val="28"/>
        </w:rPr>
        <w:t xml:space="preserve">раздела </w:t>
      </w:r>
      <w:r>
        <w:rPr>
          <w:rFonts w:ascii="Times New Roman" w:hAnsi="Times New Roman"/>
          <w:sz w:val="28"/>
        </w:rPr>
        <w:t xml:space="preserve">I </w:t>
      </w:r>
      <w:r>
        <w:rPr>
          <w:rFonts w:ascii="Times New Roman" w:hAnsi="Times New Roman"/>
          <w:sz w:val="28"/>
        </w:rPr>
        <w:t xml:space="preserve">Положения 2 </w:t>
      </w:r>
      <w:r>
        <w:rPr>
          <w:rFonts w:ascii="Times New Roman" w:hAnsi="Times New Roman"/>
          <w:sz w:val="28"/>
        </w:rPr>
        <w:t>изложить в следующей редакции:</w:t>
      </w:r>
    </w:p>
    <w:p w14:paraId="38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«3. Работодатель (или уполномоченнное им лицо) заключает трудовой договор </w:t>
      </w:r>
      <w:r>
        <w:rPr>
          <w:rFonts w:ascii="Times New Roman" w:hAnsi="Times New Roman"/>
          <w:sz w:val="28"/>
        </w:rPr>
        <w:t xml:space="preserve">(дополнительные соглашения к </w:t>
      </w:r>
      <w:r>
        <w:rPr>
          <w:rFonts w:ascii="Times New Roman" w:hAnsi="Times New Roman"/>
          <w:sz w:val="28"/>
        </w:rPr>
        <w:t>трудовому договору) с руководителем</w:t>
      </w:r>
      <w:r>
        <w:rPr>
          <w:rFonts w:ascii="Times New Roman" w:hAnsi="Times New Roman"/>
          <w:sz w:val="28"/>
        </w:rPr>
        <w:t xml:space="preserve"> организации, предусматривающий показатели и критерии оценки </w:t>
      </w:r>
      <w:r>
        <w:rPr>
          <w:rFonts w:ascii="Times New Roman" w:hAnsi="Times New Roman"/>
          <w:sz w:val="28"/>
        </w:rPr>
        <w:t xml:space="preserve">эффективности деятельности руководителя организации, размеры </w:t>
      </w:r>
      <w:r>
        <w:rPr>
          <w:rFonts w:ascii="Times New Roman" w:hAnsi="Times New Roman"/>
          <w:sz w:val="28"/>
        </w:rPr>
        <w:t>и условия назначения ему стимулирующих выплат.</w:t>
      </w:r>
    </w:p>
    <w:p w14:paraId="39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Руководитель организации заключает трудовые договоры </w:t>
      </w:r>
      <w:r>
        <w:rPr>
          <w:rFonts w:ascii="Times New Roman" w:hAnsi="Times New Roman"/>
          <w:sz w:val="28"/>
        </w:rPr>
        <w:t xml:space="preserve">(дополнительные соглашения к </w:t>
      </w:r>
      <w:r>
        <w:rPr>
          <w:rFonts w:ascii="Times New Roman" w:hAnsi="Times New Roman"/>
          <w:sz w:val="28"/>
        </w:rPr>
        <w:t>трудовым договорам) с работниками</w:t>
      </w:r>
      <w:r>
        <w:rPr>
          <w:rFonts w:ascii="Times New Roman" w:hAnsi="Times New Roman"/>
          <w:sz w:val="28"/>
        </w:rPr>
        <w:t xml:space="preserve"> организ</w:t>
      </w:r>
      <w:r>
        <w:rPr>
          <w:rFonts w:ascii="Times New Roman" w:hAnsi="Times New Roman"/>
          <w:sz w:val="28"/>
        </w:rPr>
        <w:t xml:space="preserve">ации, предусматривающие показатели и критерии оценки </w:t>
      </w:r>
      <w:r>
        <w:rPr>
          <w:rFonts w:ascii="Times New Roman" w:hAnsi="Times New Roman"/>
          <w:sz w:val="28"/>
        </w:rPr>
        <w:t xml:space="preserve">эффективности деятельности работников организации, размеры и </w:t>
      </w:r>
      <w:r>
        <w:rPr>
          <w:rFonts w:ascii="Times New Roman" w:hAnsi="Times New Roman"/>
          <w:sz w:val="28"/>
        </w:rPr>
        <w:t>условия назначения им стимулирующих выплат.»</w:t>
      </w:r>
      <w:r>
        <w:rPr>
          <w:rFonts w:ascii="Times New Roman" w:hAnsi="Times New Roman"/>
          <w:sz w:val="28"/>
        </w:rPr>
        <w:t>;</w:t>
      </w:r>
    </w:p>
    <w:p w14:paraId="3A000000">
      <w:pPr>
        <w:widowControl w:val="1"/>
        <w:tabs>
          <w:tab w:leader="none" w:pos="720" w:val="left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</w:t>
      </w:r>
      <w:r>
        <w:rPr>
          <w:rFonts w:ascii="Times New Roman" w:hAnsi="Times New Roman"/>
          <w:sz w:val="28"/>
        </w:rPr>
        <w:t xml:space="preserve"> в наименовании раздела III </w:t>
      </w:r>
      <w:r>
        <w:rPr>
          <w:rFonts w:ascii="Times New Roman" w:hAnsi="Times New Roman"/>
          <w:sz w:val="28"/>
        </w:rPr>
        <w:t xml:space="preserve">Положения 2 </w:t>
      </w:r>
      <w:r>
        <w:rPr>
          <w:rFonts w:ascii="Times New Roman" w:hAnsi="Times New Roman"/>
          <w:sz w:val="28"/>
        </w:rPr>
        <w:t>слова «выплат компенсационного характера»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заменить словами «компенсационных выплат»;</w:t>
      </w:r>
    </w:p>
    <w:p w14:paraId="3B000000">
      <w:pPr>
        <w:widowControl w:val="1"/>
        <w:tabs>
          <w:tab w:leader="none" w:pos="720" w:val="left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2.4. </w:t>
      </w:r>
      <w:r>
        <w:rPr>
          <w:rFonts w:ascii="Times New Roman" w:hAnsi="Times New Roman"/>
          <w:sz w:val="28"/>
        </w:rPr>
        <w:t xml:space="preserve">в наименовании раздела IV </w:t>
      </w:r>
      <w:r>
        <w:rPr>
          <w:rFonts w:ascii="Times New Roman" w:hAnsi="Times New Roman"/>
          <w:sz w:val="28"/>
        </w:rPr>
        <w:t xml:space="preserve">Положения 2 </w:t>
      </w:r>
      <w:r>
        <w:rPr>
          <w:rFonts w:ascii="Times New Roman" w:hAnsi="Times New Roman"/>
          <w:sz w:val="28"/>
        </w:rPr>
        <w:t>слова «выплат стимулирующего характ</w:t>
      </w:r>
      <w:r>
        <w:rPr>
          <w:rFonts w:ascii="Times New Roman" w:hAnsi="Times New Roman"/>
          <w:sz w:val="28"/>
        </w:rPr>
        <w:t xml:space="preserve">ера» </w:t>
      </w:r>
      <w:r>
        <w:rPr>
          <w:rFonts w:ascii="Times New Roman" w:hAnsi="Times New Roman"/>
          <w:sz w:val="28"/>
        </w:rPr>
        <w:t>заменить словами «стимулирующих выплат»;</w:t>
      </w:r>
    </w:p>
    <w:p w14:paraId="3C000000">
      <w:pPr>
        <w:widowControl w:val="1"/>
        <w:spacing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2.5.</w:t>
      </w:r>
      <w:r>
        <w:rPr>
          <w:sz w:val="28"/>
        </w:rPr>
        <w:t xml:space="preserve"> пункт 35 </w:t>
      </w:r>
      <w:r>
        <w:rPr>
          <w:rFonts w:ascii="Times New Roman" w:hAnsi="Times New Roman"/>
          <w:sz w:val="28"/>
        </w:rPr>
        <w:t xml:space="preserve">раздела IV </w:t>
      </w:r>
      <w:r>
        <w:rPr>
          <w:rFonts w:ascii="Times New Roman" w:hAnsi="Times New Roman"/>
          <w:sz w:val="28"/>
        </w:rPr>
        <w:t>Положения 2</w:t>
      </w:r>
      <w:r>
        <w:rPr>
          <w:sz w:val="28"/>
        </w:rPr>
        <w:t xml:space="preserve"> изложить в следующей редакции:</w:t>
      </w:r>
    </w:p>
    <w:p w14:paraId="3D000000">
      <w:pPr>
        <w:widowControl w:val="1"/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          «35. Порядок установления стимулирующих выплат определяется: </w:t>
      </w:r>
      <w:r>
        <w:rPr>
          <w:sz w:val="28"/>
        </w:rPr>
        <w:t xml:space="preserve">руководителю организации </w:t>
      </w:r>
      <w:r>
        <w:rPr>
          <w:sz w:val="28"/>
        </w:rPr>
        <w:t xml:space="preserve">приказом </w:t>
      </w:r>
      <w:r>
        <w:rPr>
          <w:rFonts w:ascii="Times New Roman" w:hAnsi="Times New Roman"/>
          <w:sz w:val="28"/>
        </w:rPr>
        <w:t>Управления образования Администрации городского округа Жуковский</w:t>
      </w:r>
      <w:r>
        <w:rPr>
          <w:sz w:val="28"/>
        </w:rPr>
        <w:t xml:space="preserve">, с учетом результатов выполнения </w:t>
      </w:r>
      <w:r>
        <w:rPr>
          <w:sz w:val="28"/>
        </w:rPr>
        <w:t>показателей и критериев оценки эффективности деятельности руководителя</w:t>
      </w:r>
      <w:r>
        <w:rPr>
          <w:sz w:val="28"/>
        </w:rPr>
        <w:t xml:space="preserve"> организации, определенных </w:t>
      </w:r>
      <w:r>
        <w:rPr>
          <w:sz w:val="28"/>
        </w:rPr>
        <w:t>Управлением образования Администрации городского округа Жуковский</w:t>
      </w:r>
      <w:r>
        <w:rPr>
          <w:sz w:val="28"/>
        </w:rPr>
        <w:t xml:space="preserve">, в ведомственном подчинении которого находится </w:t>
      </w:r>
      <w:r>
        <w:rPr>
          <w:sz w:val="28"/>
        </w:rPr>
        <w:t>образовательная организация</w:t>
      </w:r>
      <w:r>
        <w:rPr>
          <w:sz w:val="28"/>
        </w:rPr>
        <w:t xml:space="preserve">, в ведомственном подчинении которого находится </w:t>
      </w:r>
      <w:r>
        <w:rPr>
          <w:sz w:val="28"/>
        </w:rPr>
        <w:t>организация;</w:t>
      </w:r>
    </w:p>
    <w:p w14:paraId="3E000000">
      <w:pPr>
        <w:widowControl w:val="1"/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         работникам организации - локальным нормативным актом </w:t>
      </w:r>
      <w:r>
        <w:rPr>
          <w:sz w:val="28"/>
        </w:rPr>
        <w:t xml:space="preserve"> организации с учетом выполнения показателей и критериев оценки </w:t>
      </w:r>
      <w:r>
        <w:rPr>
          <w:sz w:val="28"/>
        </w:rPr>
        <w:t xml:space="preserve">эффективности </w:t>
      </w:r>
      <w:r>
        <w:rPr>
          <w:sz w:val="28"/>
        </w:rPr>
        <w:t xml:space="preserve">деятельности </w:t>
      </w:r>
      <w:r>
        <w:rPr>
          <w:sz w:val="28"/>
        </w:rPr>
        <w:t>работников</w:t>
      </w:r>
      <w:r>
        <w:rPr>
          <w:sz w:val="28"/>
        </w:rPr>
        <w:t xml:space="preserve"> </w:t>
      </w:r>
      <w:r>
        <w:rPr>
          <w:sz w:val="28"/>
        </w:rPr>
        <w:t xml:space="preserve">организации, </w:t>
      </w:r>
      <w:r>
        <w:rPr>
          <w:sz w:val="28"/>
        </w:rPr>
        <w:t xml:space="preserve">установленных локальными нормативными актами  организации </w:t>
      </w:r>
      <w:r>
        <w:rPr>
          <w:sz w:val="28"/>
        </w:rPr>
        <w:t xml:space="preserve">учетом мнения представительного органа работников </w:t>
      </w:r>
      <w:r>
        <w:rPr>
          <w:sz w:val="28"/>
        </w:rPr>
        <w:t>организации или коллективным договором.</w:t>
      </w:r>
    </w:p>
    <w:p w14:paraId="3F000000">
      <w:pPr>
        <w:widowControl w:val="1"/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        Руководитель организации при установлении систем </w:t>
      </w:r>
      <w:r>
        <w:rPr>
          <w:sz w:val="28"/>
        </w:rPr>
        <w:t xml:space="preserve">премирования руководствуется статьей 135 Трудового кодекса Российской </w:t>
      </w:r>
      <w:r>
        <w:rPr>
          <w:sz w:val="28"/>
        </w:rPr>
        <w:t xml:space="preserve">Федерации, настоящим Положением и мнением представительного органа </w:t>
      </w:r>
      <w:r>
        <w:rPr>
          <w:sz w:val="28"/>
        </w:rPr>
        <w:t>работников организации.»;</w:t>
      </w:r>
    </w:p>
    <w:p w14:paraId="40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2.6. </w:t>
      </w:r>
      <w:r>
        <w:rPr>
          <w:rFonts w:ascii="Times New Roman" w:hAnsi="Times New Roman"/>
          <w:sz w:val="28"/>
        </w:rPr>
        <w:t xml:space="preserve">дополнить пунктами 35.1, 35.2 </w:t>
      </w:r>
      <w:r>
        <w:rPr>
          <w:rFonts w:ascii="Times New Roman" w:hAnsi="Times New Roman"/>
          <w:sz w:val="28"/>
        </w:rPr>
        <w:t xml:space="preserve">раздела IV </w:t>
      </w:r>
      <w:r>
        <w:rPr>
          <w:rFonts w:ascii="Times New Roman" w:hAnsi="Times New Roman"/>
          <w:sz w:val="28"/>
        </w:rPr>
        <w:t xml:space="preserve">Положения 2 </w:t>
      </w:r>
      <w:r>
        <w:rPr>
          <w:rFonts w:ascii="Times New Roman" w:hAnsi="Times New Roman"/>
          <w:sz w:val="28"/>
        </w:rPr>
        <w:t>следующего содержания:</w:t>
      </w:r>
    </w:p>
    <w:p w14:paraId="41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«35.1 Размеры стимулирующих выплат работникам  </w:t>
      </w:r>
      <w:r>
        <w:rPr>
          <w:rFonts w:ascii="Times New Roman" w:hAnsi="Times New Roman"/>
          <w:sz w:val="28"/>
        </w:rPr>
        <w:t>организации устанавливаются в пределах годового фонда оплаты труда</w:t>
      </w:r>
      <w:r>
        <w:rPr>
          <w:rFonts w:ascii="Times New Roman" w:hAnsi="Times New Roman"/>
          <w:sz w:val="28"/>
        </w:rPr>
        <w:t xml:space="preserve"> организации, в соответствии с порядком, указанным в пункте 35 </w:t>
      </w:r>
      <w:r>
        <w:rPr>
          <w:rFonts w:ascii="Times New Roman" w:hAnsi="Times New Roman"/>
          <w:sz w:val="28"/>
        </w:rPr>
        <w:t>настоящего Положения.</w:t>
      </w:r>
    </w:p>
    <w:p w14:paraId="42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Экономия средств фонда оплаты труда может направляться руководителем </w:t>
      </w:r>
      <w:r>
        <w:rPr>
          <w:rFonts w:ascii="Times New Roman" w:hAnsi="Times New Roman"/>
          <w:sz w:val="28"/>
        </w:rPr>
        <w:t xml:space="preserve"> организации на осуществление стимулирующих выплат </w:t>
      </w:r>
      <w:r>
        <w:rPr>
          <w:rFonts w:ascii="Times New Roman" w:hAnsi="Times New Roman"/>
          <w:sz w:val="28"/>
        </w:rPr>
        <w:t xml:space="preserve">работникам  организации в соответствии с установленной системой </w:t>
      </w:r>
      <w:r>
        <w:rPr>
          <w:rFonts w:ascii="Times New Roman" w:hAnsi="Times New Roman"/>
          <w:sz w:val="28"/>
        </w:rPr>
        <w:t>премирования в  организации.</w:t>
      </w:r>
    </w:p>
    <w:p w14:paraId="43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Стимулирующие выплаты осуществляются за счет бюджетных средств и </w:t>
      </w:r>
      <w:r>
        <w:rPr>
          <w:rFonts w:ascii="Times New Roman" w:hAnsi="Times New Roman"/>
          <w:sz w:val="28"/>
        </w:rPr>
        <w:t>средств от приносящей доход деятельности.</w:t>
      </w:r>
    </w:p>
    <w:p w14:paraId="44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  <w:shd w:fill="FFE779" w:val="clear"/>
        </w:rPr>
      </w:pP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Стимулирующие выплаты осуществляются с соблюдением условий, </w:t>
      </w:r>
      <w:r>
        <w:rPr>
          <w:rFonts w:ascii="Times New Roman" w:hAnsi="Times New Roman"/>
          <w:sz w:val="28"/>
        </w:rPr>
        <w:t>установленных пунктами 14 и 15 настоящего Положения.</w:t>
      </w:r>
    </w:p>
    <w:p w14:paraId="45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35.2 Работникам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 xml:space="preserve">стимулирующие и иные выплаты в сроки, установленные коллективными </w:t>
      </w:r>
      <w:r>
        <w:rPr>
          <w:rFonts w:ascii="Times New Roman" w:hAnsi="Times New Roman"/>
          <w:sz w:val="28"/>
        </w:rPr>
        <w:t xml:space="preserve">договорами, правилами внутреннего трудового распорядка и трудовыми договорами </w:t>
      </w:r>
      <w:r>
        <w:rPr>
          <w:rFonts w:ascii="Times New Roman" w:hAnsi="Times New Roman"/>
          <w:sz w:val="28"/>
        </w:rPr>
        <w:t xml:space="preserve">с работниками организации, если иное не установлено трудовым </w:t>
      </w:r>
      <w:r>
        <w:rPr>
          <w:rFonts w:ascii="Times New Roman" w:hAnsi="Times New Roman"/>
          <w:sz w:val="28"/>
        </w:rPr>
        <w:t xml:space="preserve">законодательством Российской Федерации и иными нормативными правовыми </w:t>
      </w:r>
      <w:r>
        <w:rPr>
          <w:rFonts w:ascii="Times New Roman" w:hAnsi="Times New Roman"/>
          <w:sz w:val="28"/>
        </w:rPr>
        <w:t>актами, содержащими нормы трудового права.»;</w:t>
      </w:r>
    </w:p>
    <w:p w14:paraId="46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2.7. </w:t>
      </w:r>
      <w:r>
        <w:rPr>
          <w:rFonts w:ascii="Times New Roman" w:hAnsi="Times New Roman"/>
          <w:sz w:val="28"/>
        </w:rPr>
        <w:t xml:space="preserve"> </w:t>
      </w:r>
      <w:r>
        <w:rPr>
          <w:sz w:val="28"/>
        </w:rPr>
        <w:t xml:space="preserve">пункт 36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раздела V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Положения 2 </w:t>
      </w:r>
      <w:r>
        <w:rPr>
          <w:sz w:val="28"/>
        </w:rPr>
        <w:t>изложить в следующей редакции:</w:t>
      </w:r>
    </w:p>
    <w:p w14:paraId="47000000">
      <w:pPr>
        <w:widowControl w:val="1"/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        «36. Организация предусматривает следующие виды премий и иных </w:t>
      </w:r>
      <w:r>
        <w:rPr>
          <w:sz w:val="28"/>
        </w:rPr>
        <w:t>стимулирующих выплат:</w:t>
      </w:r>
    </w:p>
    <w:p w14:paraId="48000000">
      <w:pPr>
        <w:widowControl w:val="1"/>
        <w:numPr>
          <w:ilvl w:val="0"/>
          <w:numId w:val="1"/>
        </w:numPr>
        <w:spacing w:line="276" w:lineRule="auto"/>
        <w:ind/>
        <w:jc w:val="both"/>
        <w:rPr>
          <w:sz w:val="28"/>
        </w:rPr>
      </w:pPr>
      <w:r>
        <w:rPr>
          <w:sz w:val="28"/>
        </w:rPr>
        <w:t>выплаты за интенсивность и высокие результаты работы;</w:t>
      </w:r>
    </w:p>
    <w:p w14:paraId="49000000">
      <w:pPr>
        <w:widowControl w:val="1"/>
        <w:numPr>
          <w:ilvl w:val="0"/>
          <w:numId w:val="2"/>
        </w:numPr>
        <w:spacing w:line="276" w:lineRule="auto"/>
        <w:ind/>
        <w:jc w:val="both"/>
        <w:rPr>
          <w:sz w:val="28"/>
        </w:rPr>
      </w:pPr>
      <w:r>
        <w:rPr>
          <w:sz w:val="28"/>
        </w:rPr>
        <w:t>выплаты за качество выполняемых работ;</w:t>
      </w:r>
    </w:p>
    <w:p w14:paraId="4A000000">
      <w:pPr>
        <w:widowControl w:val="1"/>
        <w:numPr>
          <w:ilvl w:val="0"/>
          <w:numId w:val="3"/>
        </w:numPr>
        <w:spacing w:line="276" w:lineRule="auto"/>
        <w:ind/>
        <w:jc w:val="both"/>
        <w:rPr>
          <w:sz w:val="28"/>
        </w:rPr>
      </w:pPr>
      <w:r>
        <w:rPr>
          <w:sz w:val="28"/>
        </w:rPr>
        <w:t>премии по итогам работы.»;</w:t>
      </w:r>
    </w:p>
    <w:p w14:paraId="4B000000">
      <w:pPr>
        <w:widowControl w:val="1"/>
        <w:spacing w:line="276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2.8.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пункте 37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раздела V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Положения 2 </w:t>
      </w:r>
      <w:r>
        <w:rPr>
          <w:rFonts w:ascii="Times New Roman" w:hAnsi="Times New Roman"/>
          <w:sz w:val="28"/>
        </w:rPr>
        <w:t>слова «выплата стимулирующего характера» заменить словами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«стимулирующая выплата».</w:t>
      </w:r>
    </w:p>
    <w:p w14:paraId="4C000000">
      <w:pPr>
        <w:widowControl w:val="1"/>
        <w:tabs>
          <w:tab w:leader="none" w:pos="720" w:val="left"/>
        </w:tabs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Опубликовать настоящее постановление, разместив его в сетевом издании – на официальном сайте городского округа Жуковский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"http://www.zhkovskiy.ru"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www.zhukovskiy.ru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в информационно-телекоммуникационной сети Интернет.</w:t>
      </w:r>
    </w:p>
    <w:p w14:paraId="4D000000">
      <w:pPr>
        <w:pStyle w:val="Style_3"/>
        <w:widowControl w:val="1"/>
        <w:tabs>
          <w:tab w:leader="none" w:pos="1482" w:val="left"/>
        </w:tabs>
        <w:spacing w:after="0" w:before="0"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Настоящее постановление вступает в силу со дня его официального опубликования.</w:t>
      </w:r>
    </w:p>
    <w:p w14:paraId="4E000000">
      <w:pPr>
        <w:widowControl w:val="1"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    </w:t>
      </w:r>
      <w:r>
        <w:rPr>
          <w:rFonts w:ascii="Times New Roman" w:hAnsi="Times New Roman"/>
          <w:sz w:val="28"/>
        </w:rPr>
        <w:t xml:space="preserve">Контроль за исполнением настоящего постановления возложить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на заместителя Главы </w:t>
      </w:r>
      <w:r>
        <w:rPr>
          <w:rFonts w:ascii="Times New Roman" w:hAnsi="Times New Roman"/>
          <w:sz w:val="28"/>
        </w:rPr>
        <w:t>городского округа Жуковский</w:t>
      </w:r>
      <w:r>
        <w:rPr>
          <w:rFonts w:ascii="Times New Roman" w:hAnsi="Times New Roman"/>
          <w:sz w:val="28"/>
        </w:rPr>
        <w:t xml:space="preserve"> Алфёрову О.Н.</w:t>
      </w:r>
      <w:r>
        <w:rPr>
          <w:rFonts w:ascii="Times New Roman" w:hAnsi="Times New Roman"/>
          <w:sz w:val="28"/>
        </w:rPr>
        <w:t xml:space="preserve"> </w:t>
      </w:r>
    </w:p>
    <w:p w14:paraId="4F000000">
      <w:pPr>
        <w:widowControl w:val="1"/>
        <w:spacing w:line="276" w:lineRule="auto"/>
        <w:ind w:firstLine="567"/>
        <w:jc w:val="both"/>
        <w:rPr>
          <w:rFonts w:ascii="Times New Roman" w:hAnsi="Times New Roman"/>
          <w:sz w:val="28"/>
        </w:rPr>
      </w:pPr>
    </w:p>
    <w:p w14:paraId="50000000">
      <w:pPr>
        <w:widowControl w:val="1"/>
        <w:spacing w:line="276" w:lineRule="auto"/>
        <w:ind w:firstLine="567"/>
        <w:jc w:val="both"/>
        <w:rPr>
          <w:rFonts w:ascii="Times New Roman" w:hAnsi="Times New Roman"/>
          <w:sz w:val="28"/>
        </w:rPr>
      </w:pPr>
    </w:p>
    <w:p w14:paraId="51000000">
      <w:pPr>
        <w:widowControl w:val="1"/>
        <w:spacing w:line="276" w:lineRule="auto"/>
        <w:ind w:firstLine="567"/>
        <w:jc w:val="both"/>
        <w:rPr>
          <w:rFonts w:ascii="Times New Roman" w:hAnsi="Times New Roman"/>
          <w:sz w:val="28"/>
        </w:rPr>
      </w:pPr>
    </w:p>
    <w:p w14:paraId="52000000">
      <w:pPr>
        <w:pStyle w:val="Style_4"/>
        <w:widowControl w:val="1"/>
        <w:spacing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городского округа Жуковский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А.Э. Пак</w:t>
      </w:r>
    </w:p>
    <w:p w14:paraId="53000000">
      <w:pPr>
        <w:pStyle w:val="Style_4"/>
        <w:rPr>
          <w:sz w:val="24"/>
        </w:rPr>
      </w:pPr>
    </w:p>
    <w:sectPr>
      <w:headerReference r:id="rId1" w:type="default"/>
      <w:pgSz w:h="16838" w:orient="portrait" w:w="11906"/>
      <w:pgMar w:bottom="1134" w:footer="709" w:gutter="0" w:header="709" w:left="1134" w:right="566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abstractNum w:abstractNumId="3">
    <w:lvl w:ilvl="0">
      <w:start w:val="1"/>
      <w:numFmt w:val="decimal"/>
      <w:pStyle w:val="Style_7"/>
      <w:suff w:val="tab"/>
      <w:lvlText w:val="%1."/>
      <w:lvlJc w:val="left"/>
      <w:pPr>
        <w:widowControl w:val="1"/>
        <w:ind w:hanging="360" w:left="786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647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367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087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807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527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247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967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687"/>
      </w:pPr>
    </w:lvl>
  </w:abstractNum>
  <w:abstractNum w:abstractNumId="4">
    <w:lvl w:ilvl="0">
      <w:start w:val="17"/>
      <w:numFmt w:val="decimal"/>
      <w:pStyle w:val="Style_37"/>
      <w:suff w:val="tab"/>
      <w:lvlText w:val="%1."/>
      <w:lvlJc w:val="left"/>
      <w:pPr>
        <w:widowControl w:val="1"/>
        <w:ind w:hanging="360" w:left="928"/>
      </w:pPr>
      <w:rPr>
        <w:rFonts w:ascii="Arial" w:hAnsi="Arial"/>
        <w:sz w:val="24"/>
      </w:rPr>
    </w:lvl>
    <w:lvl w:ilvl="1">
      <w:start w:val="1"/>
      <w:numFmt w:val="decimal"/>
      <w:pStyle w:val="Style_13"/>
      <w:suff w:val="tab"/>
      <w:lvlText w:val="%1.%2."/>
      <w:lvlJc w:val="left"/>
      <w:pPr>
        <w:widowControl w:val="1"/>
        <w:ind w:hanging="720" w:left="1004"/>
      </w:pPr>
      <w:rPr>
        <w:sz w:val="24"/>
      </w:rPr>
    </w:lvl>
    <w:lvl w:ilvl="2">
      <w:start w:val="1"/>
      <w:numFmt w:val="decimal"/>
      <w:pStyle w:val="Style_10"/>
      <w:suff w:val="tab"/>
      <w:lvlText w:val="%1.%2.%3."/>
      <w:lvlJc w:val="left"/>
      <w:pPr>
        <w:widowControl w:val="1"/>
        <w:ind w:hanging="720" w:left="1440"/>
      </w:pPr>
      <w:rPr>
        <w:sz w:val="24"/>
      </w:rPr>
    </w:lvl>
    <w:lvl w:ilvl="3">
      <w:start w:val="1"/>
      <w:numFmt w:val="decimal"/>
      <w:suff w:val="tab"/>
      <w:lvlText w:val="%1.%2.%3.%4."/>
      <w:lvlJc w:val="left"/>
      <w:pPr>
        <w:widowControl w:val="1"/>
        <w:ind w:hanging="1080" w:left="1980"/>
      </w:pPr>
    </w:lvl>
    <w:lvl w:ilvl="4">
      <w:start w:val="1"/>
      <w:numFmt w:val="russianLower"/>
      <w:suff w:val="tab"/>
      <w:lvlText w:val="%5."/>
      <w:lvlJc w:val="left"/>
      <w:pPr>
        <w:widowControl w:val="1"/>
        <w:ind w:hanging="1080" w:left="2160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440" w:left="2700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800" w:left="3240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800" w:left="3420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2160" w:left="3960"/>
      </w:pPr>
    </w:lvl>
  </w:abstractNum>
  <w:abstractNum w:abstractNumId="5">
    <w:lvl w:ilvl="0">
      <w:start w:val="1"/>
      <w:numFmt w:val="decimal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decimal"/>
      <w:pStyle w:val="Style_16"/>
      <w:suff w:val="tab"/>
      <w:lvlText w:val="%1.%2."/>
      <w:lvlJc w:val="left"/>
      <w:pPr>
        <w:widowControl w:val="1"/>
        <w:ind w:hanging="1275" w:left="1842"/>
      </w:pPr>
    </w:lvl>
    <w:lvl w:ilvl="2">
      <w:start w:val="1"/>
      <w:numFmt w:val="decimal"/>
      <w:suff w:val="tab"/>
      <w:lvlText w:val="%1.%2.%3."/>
      <w:lvlJc w:val="left"/>
      <w:pPr>
        <w:widowControl w:val="1"/>
        <w:ind w:hanging="1275" w:left="2049"/>
      </w:pPr>
    </w:lvl>
    <w:lvl w:ilvl="3">
      <w:start w:val="1"/>
      <w:numFmt w:val="decimal"/>
      <w:suff w:val="tab"/>
      <w:lvlText w:val="%1.%2.%3.%4."/>
      <w:lvlJc w:val="left"/>
      <w:pPr>
        <w:widowControl w:val="1"/>
        <w:ind w:hanging="1275" w:left="2256"/>
      </w:pPr>
    </w:lvl>
    <w:lvl w:ilvl="4">
      <w:start w:val="1"/>
      <w:numFmt w:val="decimal"/>
      <w:suff w:val="tab"/>
      <w:lvlText w:val="%1.%2.%3.%4.%5."/>
      <w:lvlJc w:val="left"/>
      <w:pPr>
        <w:widowControl w:val="1"/>
        <w:ind w:hanging="1275" w:left="2463"/>
      </w:pPr>
    </w:lvl>
    <w:lvl w:ilvl="5">
      <w:start w:val="1"/>
      <w:numFmt w:val="decimal"/>
      <w:suff w:val="tab"/>
      <w:lvlText w:val="%1.%2.%3.%4.%5.%6."/>
      <w:lvlJc w:val="left"/>
      <w:pPr>
        <w:widowControl w:val="1"/>
        <w:ind w:hanging="1275" w:left="2670"/>
      </w:pPr>
    </w:lvl>
    <w:lvl w:ilvl="6">
      <w:start w:val="1"/>
      <w:numFmt w:val="decimal"/>
      <w:suff w:val="tab"/>
      <w:lvlText w:val="%1.%2.%3.%4.%5.%6.%7."/>
      <w:lvlJc w:val="left"/>
      <w:pPr>
        <w:widowControl w:val="1"/>
        <w:ind w:hanging="1440" w:left="3042"/>
      </w:pPr>
    </w:lvl>
    <w:lvl w:ilvl="7">
      <w:start w:val="1"/>
      <w:numFmt w:val="decimal"/>
      <w:suff w:val="tab"/>
      <w:lvlText w:val="%1.%2.%3.%4.%5.%6.%7.%8."/>
      <w:lvlJc w:val="left"/>
      <w:pPr>
        <w:widowControl w:val="1"/>
        <w:ind w:hanging="1440" w:left="3249"/>
      </w:pPr>
    </w:lvl>
    <w:lvl w:ilvl="8">
      <w:start w:val="1"/>
      <w:numFmt w:val="decimal"/>
      <w:suff w:val="tab"/>
      <w:lvlText w:val="%1.%2.%3.%4.%5.%6.%7.%8.%9."/>
      <w:lvlJc w:val="left"/>
      <w:pPr>
        <w:widowControl w:val="1"/>
        <w:ind w:hanging="1800" w:left="3816"/>
      </w:pPr>
    </w:lvl>
  </w:abstractNum>
  <w:abstractNum w:abstractNumId="6">
    <w:lvl w:ilvl="0">
      <w:start w:val="1"/>
      <w:numFmt w:val="russianLower"/>
      <w:pStyle w:val="Style_31"/>
      <w:suff w:val="tab"/>
      <w:lvlText w:val="%1)"/>
      <w:lvlJc w:val="left"/>
      <w:pPr>
        <w:widowControl w:val="1"/>
        <w:ind w:hanging="360" w:left="144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216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88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60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432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504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76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648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7200"/>
      </w:pPr>
    </w:lvl>
  </w:abstractNum>
  <w:abstractNum w:abstractNumId="7">
    <w:lvl w:ilvl="0">
      <w:start w:val="1"/>
      <w:numFmt w:val="decimal"/>
      <w:pStyle w:val="Style_34"/>
      <w:suff w:val="tab"/>
      <w:lvlText w:val="%1)"/>
      <w:lvlJc w:val="left"/>
      <w:pPr>
        <w:widowControl w:val="1"/>
        <w:ind w:hanging="360" w:left="1068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788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508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228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948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668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388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6108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828"/>
      </w:pPr>
    </w:lvl>
  </w:abstractNum>
  <w:abstractNum w:abstractNumId="8">
    <w:lvl w:ilvl="0">
      <w:start w:val="1"/>
      <w:numFmt w:val="decimal"/>
      <w:pStyle w:val="Style_46"/>
      <w:suff w:val="tab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  <w:sz w:val="24"/>
    </w:rPr>
  </w:style>
  <w:style w:default="1" w:styleId="Style_5_ch" w:type="character">
    <w:name w:val="Normal"/>
    <w:link w:val="Style_5"/>
    <w:rPr>
      <w:rFonts w:ascii="Times New Roman" w:hAnsi="Times New Roman"/>
      <w:sz w:val="24"/>
    </w:rPr>
  </w:style>
  <w:style w:styleId="Style_6" w:type="paragraph">
    <w:name w:val="toc 2"/>
    <w:next w:val="Style_5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Рег. Основной нумерованный 1. текст"/>
    <w:basedOn w:val="Style_5"/>
    <w:link w:val="Style_7_ch"/>
    <w:pPr>
      <w:widowControl w:val="1"/>
      <w:numPr>
        <w:numId w:val="4"/>
      </w:numPr>
      <w:spacing w:after="80" w:line="276" w:lineRule="auto"/>
      <w:ind/>
      <w:jc w:val="both"/>
    </w:pPr>
    <w:rPr>
      <w:sz w:val="28"/>
    </w:rPr>
  </w:style>
  <w:style w:styleId="Style_7_ch" w:type="character">
    <w:name w:val="Рег. Основной нумерованный 1. текст"/>
    <w:basedOn w:val="Style_5_ch"/>
    <w:link w:val="Style_7"/>
    <w:rPr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Гипертекстовая ссылка"/>
    <w:link w:val="Style_9_ch"/>
    <w:rPr>
      <w:color w:val="106BBE"/>
    </w:rPr>
  </w:style>
  <w:style w:styleId="Style_9_ch" w:type="character">
    <w:name w:val="Гипертекстовая ссылка"/>
    <w:link w:val="Style_9"/>
    <w:rPr>
      <w:color w:val="106BBE"/>
    </w:rPr>
  </w:style>
  <w:style w:styleId="Style_10" w:type="paragraph">
    <w:name w:val="Рег. 1.1.1"/>
    <w:basedOn w:val="Style_5"/>
    <w:link w:val="Style_10_ch"/>
    <w:pPr>
      <w:widowControl w:val="1"/>
      <w:numPr>
        <w:ilvl w:val="2"/>
        <w:numId w:val="5"/>
      </w:numPr>
      <w:ind/>
      <w:jc w:val="both"/>
    </w:pPr>
    <w:rPr>
      <w:sz w:val="28"/>
    </w:rPr>
  </w:style>
  <w:style w:styleId="Style_10_ch" w:type="character">
    <w:name w:val="Рег. 1.1.1"/>
    <w:basedOn w:val="Style_5_ch"/>
    <w:link w:val="Style_10"/>
    <w:rPr>
      <w:sz w:val="28"/>
    </w:rPr>
  </w:style>
  <w:style w:styleId="Style_11" w:type="paragraph">
    <w:name w:val="Рег. Основной текст уровень 1.1.1"/>
    <w:basedOn w:val="Style_5"/>
    <w:next w:val="Style_10"/>
    <w:link w:val="Style_11_ch"/>
    <w:pPr>
      <w:widowControl w:val="1"/>
      <w:ind w:hanging="720" w:left="1440"/>
      <w:jc w:val="both"/>
    </w:pPr>
    <w:rPr>
      <w:sz w:val="28"/>
    </w:rPr>
  </w:style>
  <w:style w:styleId="Style_11_ch" w:type="character">
    <w:name w:val="Рег. Основной текст уровень 1.1.1"/>
    <w:basedOn w:val="Style_5_ch"/>
    <w:link w:val="Style_11"/>
    <w:rPr>
      <w:sz w:val="28"/>
    </w:rPr>
  </w:style>
  <w:style w:styleId="Style_12" w:type="paragraph">
    <w:name w:val="heading 7"/>
    <w:basedOn w:val="Style_5"/>
    <w:next w:val="Style_5"/>
    <w:link w:val="Style_12_ch"/>
    <w:uiPriority w:val="9"/>
    <w:qFormat/>
    <w:pPr>
      <w:widowControl w:val="1"/>
      <w:spacing w:after="60" w:before="240"/>
      <w:ind/>
      <w:jc w:val="center"/>
      <w:outlineLvl w:val="6"/>
    </w:pPr>
  </w:style>
  <w:style w:styleId="Style_12_ch" w:type="character">
    <w:name w:val="heading 7"/>
    <w:basedOn w:val="Style_5_ch"/>
    <w:link w:val="Style_12"/>
  </w:style>
  <w:style w:styleId="Style_13" w:type="paragraph">
    <w:name w:val="Рег. Основной текст уровнеь 1.1 (базовый)"/>
    <w:basedOn w:val="Style_5"/>
    <w:link w:val="Style_13_ch"/>
    <w:pPr>
      <w:widowControl w:val="1"/>
      <w:numPr>
        <w:ilvl w:val="1"/>
        <w:numId w:val="5"/>
      </w:numPr>
      <w:spacing w:after="80" w:line="276" w:lineRule="auto"/>
      <w:ind/>
      <w:jc w:val="both"/>
    </w:pPr>
    <w:rPr>
      <w:sz w:val="28"/>
    </w:rPr>
  </w:style>
  <w:style w:styleId="Style_13_ch" w:type="character">
    <w:name w:val="Рег. Основной текст уровнеь 1.1 (базовый)"/>
    <w:basedOn w:val="Style_5_ch"/>
    <w:link w:val="Style_13"/>
    <w:rPr>
      <w:sz w:val="28"/>
    </w:rPr>
  </w:style>
  <w:style w:styleId="Style_14" w:type="paragraph">
    <w:name w:val="toc 6"/>
    <w:next w:val="Style_5"/>
    <w:link w:val="Style_1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5"/>
    <w:link w:val="Style_1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16" w:type="paragraph">
    <w:name w:val="РегламентГПЗУ"/>
    <w:basedOn w:val="Style_17"/>
    <w:link w:val="Style_16_ch"/>
    <w:pPr>
      <w:widowControl w:val="1"/>
      <w:numPr>
        <w:ilvl w:val="1"/>
        <w:numId w:val="6"/>
      </w:numPr>
      <w:tabs>
        <w:tab w:leader="none" w:pos="992" w:val="left"/>
        <w:tab w:leader="none" w:pos="1134" w:val="left"/>
        <w:tab w:leader="none" w:pos="9781" w:val="left"/>
      </w:tabs>
      <w:spacing w:after="0"/>
      <w:ind/>
      <w:jc w:val="both"/>
    </w:pPr>
    <w:rPr>
      <w:rFonts w:ascii="Times New Roman" w:hAnsi="Times New Roman"/>
      <w:sz w:val="24"/>
    </w:rPr>
  </w:style>
  <w:style w:styleId="Style_16_ch" w:type="character">
    <w:name w:val="РегламентГПЗУ"/>
    <w:basedOn w:val="Style_17_ch"/>
    <w:link w:val="Style_16"/>
    <w:rPr>
      <w:rFonts w:ascii="Times New Roman" w:hAnsi="Times New Roman"/>
      <w:sz w:val="24"/>
    </w:rPr>
  </w:style>
  <w:style w:styleId="Style_18" w:type="paragraph">
    <w:name w:val="ConsPlusTitle"/>
    <w:link w:val="Style_18_ch"/>
    <w:pPr>
      <w:widowControl w:val="0"/>
      <w:ind/>
    </w:pPr>
    <w:rPr>
      <w:b w:val="1"/>
      <w:sz w:val="22"/>
    </w:rPr>
  </w:style>
  <w:style w:styleId="Style_18_ch" w:type="character">
    <w:name w:val="ConsPlusTitle"/>
    <w:link w:val="Style_18"/>
    <w:rPr>
      <w:b w:val="1"/>
      <w:sz w:val="22"/>
    </w:rPr>
  </w:style>
  <w:style w:styleId="Style_19" w:type="paragraph">
    <w:name w:val="Заголовок оглавления1"/>
    <w:basedOn w:val="Style_20"/>
    <w:next w:val="Style_5"/>
    <w:link w:val="Style_19_ch"/>
    <w:pPr>
      <w:keepLines w:val="1"/>
      <w:widowControl w:val="1"/>
      <w:spacing w:before="480" w:line="276" w:lineRule="auto"/>
      <w:ind/>
      <w:jc w:val="left"/>
      <w:outlineLvl w:val="8"/>
    </w:pPr>
    <w:rPr>
      <w:rFonts w:ascii="Cambria" w:hAnsi="Cambria"/>
      <w:i w:val="0"/>
      <w:color w:val="365F91"/>
      <w:sz w:val="28"/>
    </w:rPr>
  </w:style>
  <w:style w:styleId="Style_19_ch" w:type="character">
    <w:name w:val="Заголовок оглавления1"/>
    <w:basedOn w:val="Style_20_ch"/>
    <w:link w:val="Style_19"/>
    <w:rPr>
      <w:rFonts w:ascii="Cambria" w:hAnsi="Cambria"/>
      <w:i w:val="0"/>
      <w:color w:val="365F91"/>
      <w:sz w:val="28"/>
    </w:rPr>
  </w:style>
  <w:style w:styleId="Style_21" w:type="paragraph">
    <w:name w:val="End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Endnote"/>
    <w:link w:val="Style_21"/>
    <w:rPr>
      <w:rFonts w:ascii="XO Thames" w:hAnsi="XO Thames"/>
      <w:sz w:val="22"/>
    </w:rPr>
  </w:style>
  <w:style w:styleId="Style_22" w:type="paragraph">
    <w:name w:val="heading 3"/>
    <w:basedOn w:val="Style_5"/>
    <w:next w:val="Style_5"/>
    <w:link w:val="Style_22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22_ch" w:type="character">
    <w:name w:val="heading 3"/>
    <w:basedOn w:val="Style_5_ch"/>
    <w:link w:val="Style_22"/>
    <w:rPr>
      <w:rFonts w:ascii="Arial" w:hAnsi="Arial"/>
      <w:b w:val="1"/>
      <w:sz w:val="26"/>
    </w:rPr>
  </w:style>
  <w:style w:styleId="Style_23" w:type="paragraph">
    <w:name w:val="Средняя сетка 1 - Акцент 21"/>
    <w:basedOn w:val="Style_5"/>
    <w:link w:val="Style_23_ch"/>
    <w:pPr>
      <w:widowControl w:val="1"/>
      <w:spacing w:after="80"/>
      <w:ind w:left="720"/>
      <w:contextualSpacing w:val="1"/>
    </w:pPr>
    <w:rPr>
      <w:rFonts w:ascii="Calibri" w:hAnsi="Calibri"/>
      <w:sz w:val="22"/>
    </w:rPr>
  </w:style>
  <w:style w:styleId="Style_23_ch" w:type="character">
    <w:name w:val="Средняя сетка 1 - Акцент 21"/>
    <w:basedOn w:val="Style_5_ch"/>
    <w:link w:val="Style_23"/>
    <w:rPr>
      <w:rFonts w:ascii="Calibri" w:hAnsi="Calibri"/>
      <w:sz w:val="22"/>
    </w:rPr>
  </w:style>
  <w:style w:styleId="Style_24" w:type="paragraph">
    <w:name w:val="Светлая сетка - Акцент 31"/>
    <w:basedOn w:val="Style_5"/>
    <w:link w:val="Style_24_ch"/>
    <w:pPr>
      <w:widowControl w:val="1"/>
      <w:spacing w:after="80"/>
      <w:ind w:left="720"/>
      <w:contextualSpacing w:val="1"/>
    </w:pPr>
    <w:rPr>
      <w:rFonts w:ascii="Calibri" w:hAnsi="Calibri"/>
      <w:sz w:val="22"/>
    </w:rPr>
  </w:style>
  <w:style w:styleId="Style_24_ch" w:type="character">
    <w:name w:val="Светлая сетка - Акцент 31"/>
    <w:basedOn w:val="Style_5_ch"/>
    <w:link w:val="Style_24"/>
    <w:rPr>
      <w:rFonts w:ascii="Calibri" w:hAnsi="Calibri"/>
      <w:sz w:val="22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25" w:type="paragraph">
    <w:name w:val="Рег. Списки два уровня: 1)  и а) б) в)"/>
    <w:basedOn w:val="Style_23"/>
    <w:link w:val="Style_25_ch"/>
    <w:pPr>
      <w:widowControl w:val="1"/>
      <w:spacing w:after="120"/>
      <w:ind w:hanging="360" w:left="1440"/>
      <w:jc w:val="both"/>
    </w:pPr>
    <w:rPr>
      <w:rFonts w:ascii="Times New Roman" w:hAnsi="Times New Roman"/>
      <w:sz w:val="28"/>
    </w:rPr>
  </w:style>
  <w:style w:styleId="Style_25_ch" w:type="character">
    <w:name w:val="Рег. Списки два уровня: 1)  и а) б) в)"/>
    <w:basedOn w:val="Style_23_ch"/>
    <w:link w:val="Style_25"/>
    <w:rPr>
      <w:rFonts w:ascii="Times New Roman" w:hAnsi="Times New Roman"/>
      <w:sz w:val="28"/>
    </w:rPr>
  </w:style>
  <w:style w:styleId="Style_26" w:type="paragraph">
    <w:name w:val="Средняя заливка 1 - Акцент 11"/>
    <w:link w:val="Style_26_ch"/>
    <w:pPr>
      <w:widowControl w:val="1"/>
      <w:spacing w:after="80"/>
      <w:ind/>
    </w:pPr>
    <w:rPr>
      <w:sz w:val="22"/>
    </w:rPr>
  </w:style>
  <w:style w:styleId="Style_26_ch" w:type="character">
    <w:name w:val="Средняя заливка 1 - Акцент 11"/>
    <w:link w:val="Style_26"/>
    <w:rPr>
      <w:sz w:val="22"/>
    </w:rPr>
  </w:style>
  <w:style w:styleId="Style_27" w:type="paragraph">
    <w:name w:val="heading 9"/>
    <w:basedOn w:val="Style_5"/>
    <w:next w:val="Style_5"/>
    <w:link w:val="Style_27_ch"/>
    <w:uiPriority w:val="9"/>
    <w:qFormat/>
    <w:pPr>
      <w:widowControl w:val="1"/>
      <w:tabs>
        <w:tab w:leader="none" w:pos="1584" w:val="left"/>
      </w:tabs>
      <w:spacing w:after="60" w:before="240"/>
      <w:ind w:hanging="1584" w:left="1584"/>
      <w:jc w:val="both"/>
      <w:outlineLvl w:val="8"/>
    </w:pPr>
    <w:rPr>
      <w:rFonts w:ascii="Arial" w:hAnsi="Arial"/>
      <w:b w:val="1"/>
      <w:i w:val="1"/>
      <w:sz w:val="18"/>
    </w:rPr>
  </w:style>
  <w:style w:styleId="Style_27_ch" w:type="character">
    <w:name w:val="heading 9"/>
    <w:basedOn w:val="Style_5_ch"/>
    <w:link w:val="Style_27"/>
    <w:rPr>
      <w:rFonts w:ascii="Arial" w:hAnsi="Arial"/>
      <w:b w:val="1"/>
      <w:i w:val="1"/>
      <w:sz w:val="18"/>
    </w:rPr>
  </w:style>
  <w:style w:styleId="Style_28" w:type="paragraph">
    <w:name w:val="Рег. Списки без буллетов"/>
    <w:basedOn w:val="Style_5"/>
    <w:link w:val="Style_28_ch"/>
    <w:pPr>
      <w:widowControl w:val="1"/>
      <w:spacing w:after="80" w:line="276" w:lineRule="auto"/>
      <w:ind w:left="709"/>
      <w:jc w:val="both"/>
    </w:pPr>
    <w:rPr>
      <w:sz w:val="28"/>
    </w:rPr>
  </w:style>
  <w:style w:styleId="Style_28_ch" w:type="character">
    <w:name w:val="Рег. Списки без буллетов"/>
    <w:basedOn w:val="Style_5_ch"/>
    <w:link w:val="Style_28"/>
    <w:rPr>
      <w:sz w:val="28"/>
    </w:rPr>
  </w:style>
  <w:style w:styleId="Style_29" w:type="paragraph">
    <w:name w:val="Рег. Списки без буллетов широкие"/>
    <w:basedOn w:val="Style_5"/>
    <w:link w:val="Style_29_ch"/>
    <w:pPr>
      <w:widowControl w:val="1"/>
      <w:ind w:firstLine="540"/>
      <w:jc w:val="both"/>
    </w:pPr>
    <w:rPr>
      <w:sz w:val="28"/>
    </w:rPr>
  </w:style>
  <w:style w:styleId="Style_29_ch" w:type="character">
    <w:name w:val="Рег. Списки без буллетов широкие"/>
    <w:basedOn w:val="Style_5_ch"/>
    <w:link w:val="Style_29"/>
    <w:rPr>
      <w:sz w:val="28"/>
    </w:rPr>
  </w:style>
  <w:style w:styleId="Style_30" w:type="paragraph">
    <w:name w:val="Рег. Заголовок 1-го уровня регламента"/>
    <w:basedOn w:val="Style_20"/>
    <w:link w:val="Style_30_ch"/>
    <w:pPr>
      <w:widowControl w:val="1"/>
      <w:spacing w:after="240" w:before="240" w:line="276" w:lineRule="auto"/>
      <w:ind/>
      <w:jc w:val="center"/>
    </w:pPr>
    <w:rPr>
      <w:i w:val="0"/>
      <w:sz w:val="28"/>
    </w:rPr>
  </w:style>
  <w:style w:styleId="Style_30_ch" w:type="character">
    <w:name w:val="Рег. Заголовок 1-го уровня регламента"/>
    <w:basedOn w:val="Style_20_ch"/>
    <w:link w:val="Style_30"/>
    <w:rPr>
      <w:i w:val="0"/>
      <w:sz w:val="28"/>
    </w:rPr>
  </w:style>
  <w:style w:styleId="Style_31" w:type="paragraph">
    <w:name w:val="Рег. Списки одного уровня: а) б) в)"/>
    <w:basedOn w:val="Style_25"/>
    <w:link w:val="Style_31_ch"/>
    <w:pPr>
      <w:numPr>
        <w:numId w:val="7"/>
      </w:numPr>
    </w:pPr>
  </w:style>
  <w:style w:styleId="Style_31_ch" w:type="character">
    <w:name w:val="Рег. Списки одного уровня: а) б) в)"/>
    <w:basedOn w:val="Style_25_ch"/>
    <w:link w:val="Style_31"/>
  </w:style>
  <w:style w:styleId="Style_32" w:type="paragraph">
    <w:name w:val="toc 3"/>
    <w:next w:val="Style_5"/>
    <w:link w:val="Style_3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32_ch" w:type="character">
    <w:name w:val="toc 3"/>
    <w:link w:val="Style_32"/>
    <w:rPr>
      <w:rFonts w:ascii="XO Thames" w:hAnsi="XO Thames"/>
      <w:sz w:val="28"/>
    </w:rPr>
  </w:style>
  <w:style w:styleId="Style_33" w:type="paragraph">
    <w:name w:val="Рег. Основной текст уровень 1.1 (сценарии)"/>
    <w:basedOn w:val="Style_13"/>
    <w:link w:val="Style_33_ch"/>
    <w:pPr>
      <w:widowControl w:val="1"/>
      <w:spacing w:after="240" w:before="360"/>
      <w:ind/>
    </w:pPr>
    <w:rPr>
      <w:i w:val="1"/>
    </w:rPr>
  </w:style>
  <w:style w:styleId="Style_33_ch" w:type="character">
    <w:name w:val="Рег. Основной текст уровень 1.1 (сценарии)"/>
    <w:basedOn w:val="Style_13_ch"/>
    <w:link w:val="Style_33"/>
    <w:rPr>
      <w:i w:val="1"/>
    </w:rPr>
  </w:style>
  <w:style w:styleId="Style_34" w:type="paragraph">
    <w:name w:val="Рег. Списки 1)"/>
    <w:basedOn w:val="Style_28"/>
    <w:link w:val="Style_34_ch"/>
    <w:pPr>
      <w:numPr>
        <w:numId w:val="8"/>
      </w:numPr>
    </w:pPr>
  </w:style>
  <w:style w:styleId="Style_34_ch" w:type="character">
    <w:name w:val="Рег. Списки 1)"/>
    <w:basedOn w:val="Style_28_ch"/>
    <w:link w:val="Style_34"/>
  </w:style>
  <w:style w:styleId="Style_35" w:type="paragraph">
    <w:name w:val="heading 5"/>
    <w:basedOn w:val="Style_5"/>
    <w:next w:val="Style_5"/>
    <w:link w:val="Style_35_ch"/>
    <w:uiPriority w:val="9"/>
    <w:qFormat/>
    <w:pPr>
      <w:widowControl w:val="1"/>
      <w:spacing w:after="60" w:before="240"/>
      <w:ind/>
      <w:outlineLvl w:val="4"/>
    </w:pPr>
    <w:rPr>
      <w:b w:val="1"/>
      <w:i w:val="1"/>
      <w:sz w:val="26"/>
    </w:rPr>
  </w:style>
  <w:style w:styleId="Style_35_ch" w:type="character">
    <w:name w:val="heading 5"/>
    <w:basedOn w:val="Style_5_ch"/>
    <w:link w:val="Style_35"/>
    <w:rPr>
      <w:b w:val="1"/>
      <w:i w:val="1"/>
      <w:sz w:val="26"/>
    </w:rPr>
  </w:style>
  <w:style w:styleId="Style_20" w:type="paragraph">
    <w:name w:val="heading 1"/>
    <w:basedOn w:val="Style_5"/>
    <w:next w:val="Style_5"/>
    <w:link w:val="Style_20_ch"/>
    <w:uiPriority w:val="9"/>
    <w:qFormat/>
    <w:pPr>
      <w:keepNext w:val="1"/>
      <w:widowControl w:val="1"/>
      <w:ind/>
      <w:jc w:val="right"/>
      <w:outlineLvl w:val="0"/>
    </w:pPr>
    <w:rPr>
      <w:b w:val="1"/>
      <w:i w:val="1"/>
    </w:rPr>
  </w:style>
  <w:style w:styleId="Style_20_ch" w:type="character">
    <w:name w:val="heading 1"/>
    <w:basedOn w:val="Style_5_ch"/>
    <w:link w:val="Style_20"/>
    <w:rPr>
      <w:b w:val="1"/>
      <w:i w:val="1"/>
    </w:rPr>
  </w:style>
  <w:style w:styleId="Style_36" w:type="paragraph">
    <w:name w:val="Рег. Заголовок для названий результата"/>
    <w:basedOn w:val="Style_37"/>
    <w:link w:val="Style_36_ch"/>
    <w:pPr>
      <w:widowControl w:val="1"/>
      <w:numPr>
        <w:ilvl w:val="0"/>
        <w:numId w:val="0"/>
      </w:numPr>
      <w:ind w:left="714"/>
      <w:jc w:val="left"/>
    </w:pPr>
  </w:style>
  <w:style w:styleId="Style_36_ch" w:type="character">
    <w:name w:val="Рег. Заголовок для названий результата"/>
    <w:basedOn w:val="Style_37_ch"/>
    <w:link w:val="Style_36"/>
  </w:style>
  <w:style w:styleId="Style_17" w:type="paragraph">
    <w:name w:val="List Paragraph"/>
    <w:basedOn w:val="Style_5"/>
    <w:link w:val="Style_17_ch"/>
    <w:pPr>
      <w:widowControl w:val="1"/>
      <w:spacing w:after="80"/>
      <w:ind w:left="720"/>
      <w:contextualSpacing w:val="1"/>
    </w:pPr>
    <w:rPr>
      <w:rFonts w:ascii="Calibri" w:hAnsi="Calibri"/>
      <w:sz w:val="22"/>
    </w:rPr>
  </w:style>
  <w:style w:styleId="Style_17_ch" w:type="character">
    <w:name w:val="List Paragraph"/>
    <w:basedOn w:val="Style_5_ch"/>
    <w:link w:val="Style_17"/>
    <w:rPr>
      <w:rFonts w:ascii="Calibri" w:hAnsi="Calibri"/>
      <w:sz w:val="22"/>
    </w:rPr>
  </w:style>
  <w:style w:styleId="Style_38" w:type="paragraph">
    <w:name w:val="No Spacing"/>
    <w:link w:val="Style_38_ch"/>
    <w:pPr>
      <w:widowControl w:val="1"/>
      <w:spacing w:after="80"/>
      <w:ind/>
    </w:pPr>
    <w:rPr>
      <w:sz w:val="22"/>
    </w:rPr>
  </w:style>
  <w:style w:styleId="Style_38_ch" w:type="character">
    <w:name w:val="No Spacing"/>
    <w:link w:val="Style_38"/>
    <w:rPr>
      <w:sz w:val="22"/>
    </w:rPr>
  </w:style>
  <w:style w:styleId="Style_39" w:type="paragraph">
    <w:name w:val="Hyperlink"/>
    <w:link w:val="Style_39_ch"/>
    <w:rPr>
      <w:color w:val="0000FF"/>
      <w:u w:val="single"/>
    </w:rPr>
  </w:style>
  <w:style w:styleId="Style_39_ch" w:type="character">
    <w:name w:val="Hyperlink"/>
    <w:link w:val="Style_39"/>
    <w:rPr>
      <w:color w:val="0000FF"/>
      <w:u w:val="single"/>
    </w:rPr>
  </w:style>
  <w:style w:styleId="Style_40" w:type="paragraph">
    <w:name w:val="Footnote"/>
    <w:link w:val="Style_4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40_ch" w:type="character">
    <w:name w:val="Footnote"/>
    <w:link w:val="Style_40"/>
    <w:rPr>
      <w:rFonts w:ascii="XO Thames" w:hAnsi="XO Thames"/>
      <w:sz w:val="22"/>
    </w:rPr>
  </w:style>
  <w:style w:styleId="Style_41" w:type="paragraph">
    <w:name w:val="heading 8"/>
    <w:basedOn w:val="Style_5"/>
    <w:next w:val="Style_5"/>
    <w:link w:val="Style_41_ch"/>
    <w:uiPriority w:val="9"/>
    <w:qFormat/>
    <w:pPr>
      <w:widowControl w:val="1"/>
      <w:tabs>
        <w:tab w:leader="none" w:pos="1440" w:val="left"/>
      </w:tabs>
      <w:spacing w:after="60" w:before="240"/>
      <w:ind w:hanging="1440" w:left="1440"/>
      <w:jc w:val="both"/>
      <w:outlineLvl w:val="7"/>
    </w:pPr>
    <w:rPr>
      <w:rFonts w:ascii="Arial" w:hAnsi="Arial"/>
      <w:i w:val="1"/>
      <w:sz w:val="20"/>
    </w:rPr>
  </w:style>
  <w:style w:styleId="Style_41_ch" w:type="character">
    <w:name w:val="heading 8"/>
    <w:basedOn w:val="Style_5_ch"/>
    <w:link w:val="Style_41"/>
    <w:rPr>
      <w:rFonts w:ascii="Arial" w:hAnsi="Arial"/>
      <w:i w:val="1"/>
      <w:sz w:val="20"/>
    </w:rPr>
  </w:style>
  <w:style w:styleId="Style_42" w:type="paragraph">
    <w:name w:val="Рег. Основной текст уровень 1.1"/>
    <w:basedOn w:val="Style_5"/>
    <w:link w:val="Style_42_ch"/>
    <w:pPr>
      <w:widowControl w:val="1"/>
      <w:spacing w:after="80" w:line="276" w:lineRule="auto"/>
      <w:ind w:firstLine="709"/>
      <w:jc w:val="both"/>
    </w:pPr>
    <w:rPr>
      <w:sz w:val="28"/>
    </w:rPr>
  </w:style>
  <w:style w:styleId="Style_42_ch" w:type="character">
    <w:name w:val="Рег. Основной текст уровень 1.1"/>
    <w:basedOn w:val="Style_5_ch"/>
    <w:link w:val="Style_42"/>
    <w:rPr>
      <w:sz w:val="28"/>
    </w:rPr>
  </w:style>
  <w:style w:styleId="Style_43" w:type="paragraph">
    <w:name w:val="toc 1"/>
    <w:next w:val="Style_5"/>
    <w:link w:val="Style_4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43_ch" w:type="character">
    <w:name w:val="toc 1"/>
    <w:link w:val="Style_43"/>
    <w:rPr>
      <w:rFonts w:ascii="XO Thames" w:hAnsi="XO Thames"/>
      <w:b w:val="1"/>
      <w:sz w:val="28"/>
    </w:rPr>
  </w:style>
  <w:style w:styleId="Style_44" w:type="paragraph">
    <w:name w:val="РегламентГПЗУ2"/>
    <w:basedOn w:val="Style_16"/>
    <w:link w:val="Style_44_ch"/>
    <w:pPr>
      <w:widowControl w:val="1"/>
      <w:numPr>
        <w:ilvl w:val="2"/>
      </w:numPr>
      <w:tabs>
        <w:tab w:leader="none" w:pos="360" w:val="left"/>
        <w:tab w:leader="none" w:pos="992" w:val="clear"/>
        <w:tab w:leader="none" w:pos="1418" w:val="left"/>
      </w:tabs>
      <w:ind/>
    </w:pPr>
  </w:style>
  <w:style w:styleId="Style_44_ch" w:type="character">
    <w:name w:val="РегламентГПЗУ2"/>
    <w:basedOn w:val="Style_16_ch"/>
    <w:link w:val="Style_44"/>
  </w:style>
  <w:style w:styleId="Style_45" w:type="paragraph">
    <w:name w:val="Header and Footer"/>
    <w:link w:val="Style_4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45_ch" w:type="character">
    <w:name w:val="Header and Footer"/>
    <w:link w:val="Style_45"/>
    <w:rPr>
      <w:rFonts w:ascii="XO Thames" w:hAnsi="XO Thames"/>
      <w:sz w:val="28"/>
    </w:rPr>
  </w:style>
  <w:style w:styleId="Style_37" w:type="paragraph">
    <w:name w:val="Рег. Заголовок 2-го уровня регламента"/>
    <w:basedOn w:val="Style_5"/>
    <w:link w:val="Style_37_ch"/>
    <w:pPr>
      <w:widowControl w:val="1"/>
      <w:numPr>
        <w:numId w:val="5"/>
      </w:numPr>
      <w:spacing w:after="240" w:before="360"/>
      <w:ind/>
      <w:jc w:val="center"/>
      <w:outlineLvl w:val="1"/>
    </w:pPr>
    <w:rPr>
      <w:b w:val="1"/>
      <w:i w:val="1"/>
      <w:sz w:val="28"/>
    </w:rPr>
  </w:style>
  <w:style w:styleId="Style_37_ch" w:type="character">
    <w:name w:val="Рег. Заголовок 2-го уровня регламента"/>
    <w:basedOn w:val="Style_5_ch"/>
    <w:link w:val="Style_37"/>
    <w:rPr>
      <w:b w:val="1"/>
      <w:i w:val="1"/>
      <w:sz w:val="28"/>
    </w:rPr>
  </w:style>
  <w:style w:styleId="Style_46" w:type="paragraph">
    <w:name w:val="Рег. Списки числовый"/>
    <w:basedOn w:val="Style_23"/>
    <w:link w:val="Style_46_ch"/>
    <w:pPr>
      <w:widowControl w:val="1"/>
      <w:numPr>
        <w:numId w:val="9"/>
      </w:numPr>
      <w:ind/>
      <w:jc w:val="both"/>
    </w:pPr>
    <w:rPr>
      <w:rFonts w:ascii="Times New Roman" w:hAnsi="Times New Roman"/>
      <w:sz w:val="28"/>
    </w:rPr>
  </w:style>
  <w:style w:styleId="Style_46_ch" w:type="character">
    <w:name w:val="Рег. Списки числовый"/>
    <w:basedOn w:val="Style_23_ch"/>
    <w:link w:val="Style_46"/>
    <w:rPr>
      <w:rFonts w:ascii="Times New Roman" w:hAnsi="Times New Roman"/>
      <w:sz w:val="28"/>
    </w:rPr>
  </w:style>
  <w:style w:styleId="Style_47" w:type="paragraph">
    <w:name w:val="Default Paragraph Font"/>
    <w:link w:val="Style_47_ch"/>
  </w:style>
  <w:style w:styleId="Style_47_ch" w:type="character">
    <w:name w:val="Default Paragraph Font"/>
    <w:link w:val="Style_47"/>
  </w:style>
  <w:style w:styleId="Style_48" w:type="paragraph">
    <w:name w:val="Без интервала1"/>
    <w:link w:val="Style_48_ch"/>
    <w:pPr>
      <w:widowControl w:val="1"/>
      <w:spacing w:after="80"/>
      <w:ind/>
    </w:pPr>
    <w:rPr>
      <w:sz w:val="22"/>
    </w:rPr>
  </w:style>
  <w:style w:styleId="Style_48_ch" w:type="character">
    <w:name w:val="Без интервала1"/>
    <w:link w:val="Style_48"/>
    <w:rPr>
      <w:sz w:val="22"/>
    </w:rPr>
  </w:style>
  <w:style w:styleId="Style_49" w:type="paragraph">
    <w:name w:val="toc 9"/>
    <w:next w:val="Style_5"/>
    <w:link w:val="Style_4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9_ch" w:type="character">
    <w:name w:val="toc 9"/>
    <w:link w:val="Style_49"/>
    <w:rPr>
      <w:rFonts w:ascii="XO Thames" w:hAnsi="XO Thames"/>
      <w:sz w:val="28"/>
    </w:rPr>
  </w:style>
  <w:style w:styleId="Style_50" w:type="paragraph">
    <w:name w:val="Emphasis"/>
    <w:link w:val="Style_50_ch"/>
    <w:rPr>
      <w:i w:val="1"/>
    </w:rPr>
  </w:style>
  <w:style w:styleId="Style_50_ch" w:type="character">
    <w:name w:val="Emphasis"/>
    <w:link w:val="Style_50"/>
    <w:rPr>
      <w:i w:val="1"/>
    </w:rPr>
  </w:style>
  <w:style w:styleId="Style_2" w:type="paragraph">
    <w:name w:val="ConsPlusNonformat"/>
    <w:link w:val="Style_2_ch"/>
    <w:pPr>
      <w:widowControl w:val="0"/>
      <w:ind/>
    </w:pPr>
    <w:rPr>
      <w:rFonts w:ascii="Courier New" w:hAnsi="Courier New"/>
    </w:rPr>
  </w:style>
  <w:style w:styleId="Style_2_ch" w:type="character">
    <w:name w:val="ConsPlusNonformat"/>
    <w:link w:val="Style_2"/>
    <w:rPr>
      <w:rFonts w:ascii="Courier New" w:hAnsi="Courier New"/>
    </w:rPr>
  </w:style>
  <w:style w:styleId="Style_3" w:type="paragraph">
    <w:name w:val="Основной текст (2)"/>
    <w:basedOn w:val="Style_5"/>
    <w:link w:val="Style_3_ch"/>
    <w:pPr>
      <w:widowControl w:val="0"/>
      <w:spacing w:after="1040" w:before="660" w:line="310" w:lineRule="exact"/>
      <w:ind/>
      <w:jc w:val="center"/>
    </w:pPr>
    <w:rPr>
      <w:sz w:val="28"/>
    </w:rPr>
  </w:style>
  <w:style w:styleId="Style_3_ch" w:type="character">
    <w:name w:val="Основной текст (2)"/>
    <w:basedOn w:val="Style_5_ch"/>
    <w:link w:val="Style_3"/>
    <w:rPr>
      <w:sz w:val="28"/>
    </w:rPr>
  </w:style>
  <w:style w:styleId="Style_51" w:type="paragraph">
    <w:name w:val="Абзац списка11"/>
    <w:basedOn w:val="Style_5"/>
    <w:link w:val="Style_51_ch"/>
    <w:pPr>
      <w:widowControl w:val="1"/>
      <w:ind w:left="720"/>
      <w:jc w:val="center"/>
    </w:pPr>
    <w:rPr>
      <w:rFonts w:ascii="Calibri" w:hAnsi="Calibri"/>
      <w:sz w:val="22"/>
    </w:rPr>
  </w:style>
  <w:style w:styleId="Style_51_ch" w:type="character">
    <w:name w:val="Абзац списка11"/>
    <w:basedOn w:val="Style_5_ch"/>
    <w:link w:val="Style_51"/>
    <w:rPr>
      <w:rFonts w:ascii="Calibri" w:hAnsi="Calibri"/>
      <w:sz w:val="22"/>
    </w:rPr>
  </w:style>
  <w:style w:styleId="Style_52" w:type="paragraph">
    <w:name w:val="footer"/>
    <w:basedOn w:val="Style_5"/>
    <w:link w:val="Style_52_ch"/>
    <w:pPr>
      <w:widowControl w:val="1"/>
      <w:tabs>
        <w:tab w:leader="none" w:pos="4677" w:val="center"/>
        <w:tab w:leader="none" w:pos="9355" w:val="right"/>
      </w:tabs>
      <w:ind/>
    </w:pPr>
  </w:style>
  <w:style w:styleId="Style_52_ch" w:type="character">
    <w:name w:val="footer"/>
    <w:basedOn w:val="Style_5_ch"/>
    <w:link w:val="Style_52"/>
  </w:style>
  <w:style w:styleId="Style_53" w:type="paragraph">
    <w:name w:val="toc 8"/>
    <w:next w:val="Style_5"/>
    <w:link w:val="Style_5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53_ch" w:type="character">
    <w:name w:val="toc 8"/>
    <w:link w:val="Style_53"/>
    <w:rPr>
      <w:rFonts w:ascii="XO Thames" w:hAnsi="XO Thames"/>
      <w:sz w:val="28"/>
    </w:rPr>
  </w:style>
  <w:style w:styleId="Style_54" w:type="paragraph">
    <w:name w:val="Strong"/>
    <w:link w:val="Style_54_ch"/>
    <w:rPr>
      <w:b w:val="1"/>
    </w:rPr>
  </w:style>
  <w:style w:styleId="Style_54_ch" w:type="character">
    <w:name w:val="Strong"/>
    <w:link w:val="Style_54"/>
    <w:rPr>
      <w:b w:val="1"/>
    </w:rPr>
  </w:style>
  <w:style w:styleId="Style_55" w:type="paragraph">
    <w:name w:val="Средняя сетка 2 - Акцент 11"/>
    <w:link w:val="Style_55_ch"/>
    <w:pPr>
      <w:widowControl w:val="1"/>
      <w:spacing w:after="80"/>
      <w:ind/>
    </w:pPr>
    <w:rPr>
      <w:rFonts w:ascii="Times New Roman" w:hAnsi="Times New Roman"/>
      <w:b w:val="1"/>
      <w:sz w:val="28"/>
    </w:rPr>
  </w:style>
  <w:style w:styleId="Style_55_ch" w:type="character">
    <w:name w:val="Средняя сетка 2 - Акцент 11"/>
    <w:link w:val="Style_55"/>
    <w:rPr>
      <w:rFonts w:ascii="Times New Roman" w:hAnsi="Times New Roman"/>
      <w:b w:val="1"/>
      <w:sz w:val="28"/>
    </w:rPr>
  </w:style>
  <w:style w:styleId="Style_56" w:type="paragraph">
    <w:name w:val="Рег. Комментарии"/>
    <w:basedOn w:val="Style_24"/>
    <w:link w:val="Style_56_ch"/>
    <w:pPr>
      <w:widowControl w:val="1"/>
      <w:spacing w:after="0"/>
      <w:ind w:firstLine="709" w:left="539"/>
      <w:jc w:val="both"/>
    </w:pPr>
    <w:rPr>
      <w:rFonts w:ascii="Times New Roman" w:hAnsi="Times New Roman"/>
      <w:i w:val="1"/>
      <w:sz w:val="28"/>
    </w:rPr>
  </w:style>
  <w:style w:styleId="Style_56_ch" w:type="character">
    <w:name w:val="Рег. Комментарии"/>
    <w:basedOn w:val="Style_24_ch"/>
    <w:link w:val="Style_56"/>
    <w:rPr>
      <w:rFonts w:ascii="Times New Roman" w:hAnsi="Times New Roman"/>
      <w:i w:val="1"/>
      <w:sz w:val="28"/>
    </w:rPr>
  </w:style>
  <w:style w:styleId="Style_57" w:type="paragraph">
    <w:name w:val="caption"/>
    <w:basedOn w:val="Style_5"/>
    <w:next w:val="Style_5"/>
    <w:link w:val="Style_57_ch"/>
    <w:pPr>
      <w:widowControl w:val="1"/>
      <w:spacing w:line="216" w:lineRule="auto"/>
      <w:ind/>
      <w:jc w:val="center"/>
    </w:pPr>
    <w:rPr>
      <w:b w:val="1"/>
      <w:sz w:val="22"/>
    </w:rPr>
  </w:style>
  <w:style w:styleId="Style_57_ch" w:type="character">
    <w:name w:val="caption"/>
    <w:basedOn w:val="Style_5_ch"/>
    <w:link w:val="Style_57"/>
    <w:rPr>
      <w:b w:val="1"/>
      <w:sz w:val="22"/>
    </w:rPr>
  </w:style>
  <w:style w:styleId="Style_58" w:type="paragraph">
    <w:name w:val="Рег. Заголовок 2-го уровня сценариев в приложении"/>
    <w:basedOn w:val="Style_59"/>
    <w:link w:val="Style_58_ch"/>
    <w:pPr>
      <w:widowControl w:val="1"/>
      <w:spacing w:after="240" w:before="360" w:line="276" w:lineRule="auto"/>
      <w:ind/>
      <w:jc w:val="center"/>
    </w:pPr>
    <w:rPr>
      <w:rFonts w:ascii="Times New Roman" w:hAnsi="Times New Roman"/>
      <w:i w:val="0"/>
    </w:rPr>
  </w:style>
  <w:style w:styleId="Style_58_ch" w:type="character">
    <w:name w:val="Рег. Заголовок 2-го уровня сценариев в приложении"/>
    <w:basedOn w:val="Style_59_ch"/>
    <w:link w:val="Style_58"/>
    <w:rPr>
      <w:rFonts w:ascii="Times New Roman" w:hAnsi="Times New Roman"/>
      <w:i w:val="0"/>
    </w:rPr>
  </w:style>
  <w:style w:styleId="Style_60" w:type="paragraph">
    <w:name w:val="toc 5"/>
    <w:next w:val="Style_5"/>
    <w:link w:val="Style_6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60_ch" w:type="character">
    <w:name w:val="toc 5"/>
    <w:link w:val="Style_60"/>
    <w:rPr>
      <w:rFonts w:ascii="XO Thames" w:hAnsi="XO Thames"/>
      <w:sz w:val="28"/>
    </w:rPr>
  </w:style>
  <w:style w:styleId="Style_61" w:type="paragraph">
    <w:name w:val="Сценарии"/>
    <w:basedOn w:val="Style_5"/>
    <w:link w:val="Style_61_ch"/>
    <w:pPr>
      <w:widowControl w:val="1"/>
      <w:spacing w:after="120" w:before="120"/>
      <w:ind w:firstLine="539"/>
      <w:contextualSpacing w:val="1"/>
      <w:jc w:val="center"/>
    </w:pPr>
    <w:rPr>
      <w:i w:val="1"/>
      <w:sz w:val="28"/>
    </w:rPr>
  </w:style>
  <w:style w:styleId="Style_61_ch" w:type="character">
    <w:name w:val="Сценарии"/>
    <w:basedOn w:val="Style_5_ch"/>
    <w:link w:val="Style_61"/>
    <w:rPr>
      <w:i w:val="1"/>
      <w:sz w:val="28"/>
    </w:rPr>
  </w:style>
  <w:style w:styleId="Style_62" w:type="paragraph">
    <w:name w:val="Абзац списка1"/>
    <w:basedOn w:val="Style_5"/>
    <w:link w:val="Style_62_ch"/>
    <w:pPr>
      <w:widowControl w:val="1"/>
      <w:spacing w:after="80"/>
      <w:ind w:left="720"/>
    </w:pPr>
    <w:rPr>
      <w:rFonts w:ascii="Calibri" w:hAnsi="Calibri"/>
      <w:sz w:val="22"/>
    </w:rPr>
  </w:style>
  <w:style w:styleId="Style_62_ch" w:type="character">
    <w:name w:val="Абзац списка1"/>
    <w:basedOn w:val="Style_5_ch"/>
    <w:link w:val="Style_62"/>
    <w:rPr>
      <w:rFonts w:ascii="Calibri" w:hAnsi="Calibri"/>
      <w:sz w:val="22"/>
    </w:rPr>
  </w:style>
  <w:style w:styleId="Style_63" w:type="paragraph">
    <w:name w:val="Рег. Обычный с отступом"/>
    <w:basedOn w:val="Style_5"/>
    <w:link w:val="Style_63_ch"/>
    <w:pPr>
      <w:widowControl w:val="1"/>
      <w:ind w:firstLine="540"/>
      <w:jc w:val="both"/>
    </w:pPr>
    <w:rPr>
      <w:sz w:val="28"/>
    </w:rPr>
  </w:style>
  <w:style w:styleId="Style_63_ch" w:type="character">
    <w:name w:val="Рег. Обычный с отступом"/>
    <w:basedOn w:val="Style_5_ch"/>
    <w:link w:val="Style_63"/>
    <w:rPr>
      <w:sz w:val="28"/>
    </w:rPr>
  </w:style>
  <w:style w:styleId="Style_64" w:type="paragraph">
    <w:name w:val="Заголовок 2 Знак"/>
    <w:link w:val="Style_64_ch"/>
    <w:rPr>
      <w:rFonts w:ascii="Cambria" w:hAnsi="Cambria"/>
      <w:color w:val="365F91"/>
      <w:sz w:val="26"/>
    </w:rPr>
  </w:style>
  <w:style w:styleId="Style_64_ch" w:type="character">
    <w:name w:val="Заголовок 2 Знак"/>
    <w:link w:val="Style_64"/>
    <w:rPr>
      <w:rFonts w:ascii="Cambria" w:hAnsi="Cambria"/>
      <w:color w:val="365F91"/>
      <w:sz w:val="26"/>
    </w:rPr>
  </w:style>
  <w:style w:styleId="Style_65" w:type="paragraph">
    <w:name w:val="Normal (Web)"/>
    <w:basedOn w:val="Style_5"/>
    <w:link w:val="Style_65_ch"/>
    <w:pPr>
      <w:widowControl w:val="1"/>
      <w:spacing w:afterAutospacing="on" w:beforeAutospacing="on"/>
      <w:ind/>
    </w:pPr>
  </w:style>
  <w:style w:styleId="Style_65_ch" w:type="character">
    <w:name w:val="Normal (Web)"/>
    <w:basedOn w:val="Style_5_ch"/>
    <w:link w:val="Style_65"/>
  </w:style>
  <w:style w:styleId="Style_66" w:type="paragraph">
    <w:name w:val="Subtitle"/>
    <w:next w:val="Style_5"/>
    <w:link w:val="Style_6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66_ch" w:type="character">
    <w:name w:val="Subtitle"/>
    <w:link w:val="Style_66"/>
    <w:rPr>
      <w:rFonts w:ascii="XO Thames" w:hAnsi="XO Thames"/>
      <w:i w:val="1"/>
      <w:sz w:val="24"/>
    </w:rPr>
  </w:style>
  <w:style w:styleId="Style_67" w:type="paragraph">
    <w:name w:val="Заголовок 1 Знак"/>
    <w:link w:val="Style_67_ch"/>
    <w:rPr>
      <w:rFonts w:ascii="Cambria" w:hAnsi="Cambria"/>
      <w:color w:val="365F91"/>
      <w:sz w:val="32"/>
    </w:rPr>
  </w:style>
  <w:style w:styleId="Style_67_ch" w:type="character">
    <w:name w:val="Заголовок 1 Знак"/>
    <w:link w:val="Style_67"/>
    <w:rPr>
      <w:rFonts w:ascii="Cambria" w:hAnsi="Cambria"/>
      <w:color w:val="365F91"/>
      <w:sz w:val="32"/>
    </w:rPr>
  </w:style>
  <w:style w:styleId="Style_68" w:type="paragraph">
    <w:name w:val="Balloon Text"/>
    <w:basedOn w:val="Style_5"/>
    <w:link w:val="Style_68_ch"/>
    <w:rPr>
      <w:rFonts w:ascii="Segoe UI" w:hAnsi="Segoe UI"/>
      <w:sz w:val="18"/>
    </w:rPr>
  </w:style>
  <w:style w:styleId="Style_68_ch" w:type="character">
    <w:name w:val="Balloon Text"/>
    <w:basedOn w:val="Style_5_ch"/>
    <w:link w:val="Style_68"/>
    <w:rPr>
      <w:rFonts w:ascii="Segoe UI" w:hAnsi="Segoe UI"/>
      <w:sz w:val="18"/>
    </w:rPr>
  </w:style>
  <w:style w:styleId="Style_69" w:type="paragraph">
    <w:name w:val="Title"/>
    <w:basedOn w:val="Style_5"/>
    <w:link w:val="Style_69_ch"/>
    <w:uiPriority w:val="10"/>
    <w:qFormat/>
    <w:pPr>
      <w:widowControl w:val="1"/>
      <w:ind/>
      <w:jc w:val="center"/>
    </w:pPr>
    <w:rPr>
      <w:rFonts w:ascii="Arial" w:hAnsi="Arial"/>
      <w:b w:val="1"/>
    </w:rPr>
  </w:style>
  <w:style w:styleId="Style_69_ch" w:type="character">
    <w:name w:val="Title"/>
    <w:basedOn w:val="Style_5_ch"/>
    <w:link w:val="Style_69"/>
    <w:rPr>
      <w:rFonts w:ascii="Arial" w:hAnsi="Arial"/>
      <w:b w:val="1"/>
    </w:rPr>
  </w:style>
  <w:style w:styleId="Style_70" w:type="paragraph">
    <w:name w:val="Body Text Indent 3"/>
    <w:basedOn w:val="Style_5"/>
    <w:link w:val="Style_70_ch"/>
    <w:pPr>
      <w:widowControl w:val="1"/>
      <w:spacing w:after="120"/>
      <w:ind w:left="283"/>
    </w:pPr>
    <w:rPr>
      <w:sz w:val="16"/>
    </w:rPr>
  </w:style>
  <w:style w:styleId="Style_70_ch" w:type="character">
    <w:name w:val="Body Text Indent 3"/>
    <w:basedOn w:val="Style_5_ch"/>
    <w:link w:val="Style_70"/>
    <w:rPr>
      <w:sz w:val="16"/>
    </w:rPr>
  </w:style>
  <w:style w:styleId="Style_71" w:type="paragraph">
    <w:name w:val="heading 4"/>
    <w:basedOn w:val="Style_5"/>
    <w:next w:val="Style_5"/>
    <w:link w:val="Style_71_ch"/>
    <w:uiPriority w:val="9"/>
    <w:qFormat/>
    <w:pPr>
      <w:keepNext w:val="1"/>
      <w:widowControl w:val="1"/>
      <w:spacing w:line="216" w:lineRule="auto"/>
      <w:ind/>
      <w:jc w:val="center"/>
      <w:outlineLvl w:val="3"/>
    </w:pPr>
    <w:rPr>
      <w:b w:val="1"/>
    </w:rPr>
  </w:style>
  <w:style w:styleId="Style_71_ch" w:type="character">
    <w:name w:val="heading 4"/>
    <w:basedOn w:val="Style_5_ch"/>
    <w:link w:val="Style_71"/>
    <w:rPr>
      <w:b w:val="1"/>
    </w:rPr>
  </w:style>
  <w:style w:styleId="Style_59" w:type="paragraph">
    <w:name w:val="heading 2"/>
    <w:basedOn w:val="Style_5"/>
    <w:next w:val="Style_5"/>
    <w:link w:val="Style_59_ch"/>
    <w:uiPriority w:val="9"/>
    <w:qFormat/>
    <w:pPr>
      <w:keepNext w:val="1"/>
      <w:widowControl w:val="1"/>
      <w:spacing w:after="60" w:before="240"/>
      <w:ind/>
      <w:outlineLvl w:val="1"/>
    </w:pPr>
    <w:rPr>
      <w:rFonts w:ascii="Arial" w:hAnsi="Arial"/>
      <w:b w:val="1"/>
      <w:i w:val="1"/>
      <w:sz w:val="28"/>
    </w:rPr>
  </w:style>
  <w:style w:styleId="Style_59_ch" w:type="character">
    <w:name w:val="heading 2"/>
    <w:basedOn w:val="Style_5_ch"/>
    <w:link w:val="Style_59"/>
    <w:rPr>
      <w:rFonts w:ascii="Arial" w:hAnsi="Arial"/>
      <w:b w:val="1"/>
      <w:i w:val="1"/>
      <w:sz w:val="28"/>
    </w:rPr>
  </w:style>
  <w:style w:styleId="Style_72" w:type="paragraph">
    <w:name w:val="heading 6"/>
    <w:basedOn w:val="Style_5"/>
    <w:next w:val="Style_5"/>
    <w:link w:val="Style_72_ch"/>
    <w:uiPriority w:val="9"/>
    <w:qFormat/>
    <w:pPr>
      <w:widowControl w:val="1"/>
      <w:tabs>
        <w:tab w:leader="none" w:pos="1152" w:val="left"/>
      </w:tabs>
      <w:spacing w:after="60" w:before="240"/>
      <w:ind w:hanging="1152" w:left="1152"/>
      <w:jc w:val="both"/>
      <w:outlineLvl w:val="5"/>
    </w:pPr>
    <w:rPr>
      <w:i w:val="1"/>
      <w:sz w:val="20"/>
    </w:rPr>
  </w:style>
  <w:style w:styleId="Style_72_ch" w:type="character">
    <w:name w:val="heading 6"/>
    <w:basedOn w:val="Style_5_ch"/>
    <w:link w:val="Style_72"/>
    <w:rPr>
      <w:i w:val="1"/>
      <w:sz w:val="20"/>
    </w:rPr>
  </w:style>
  <w:style w:styleId="Style_73" w:type="paragraph">
    <w:name w:val="Заголовок оглавления2"/>
    <w:basedOn w:val="Style_20"/>
    <w:next w:val="Style_5"/>
    <w:link w:val="Style_73_ch"/>
    <w:pPr>
      <w:keepLines w:val="1"/>
      <w:widowControl w:val="1"/>
      <w:spacing w:before="480" w:line="276" w:lineRule="auto"/>
      <w:ind/>
      <w:jc w:val="left"/>
      <w:outlineLvl w:val="8"/>
    </w:pPr>
    <w:rPr>
      <w:rFonts w:ascii="Cambria" w:hAnsi="Cambria"/>
      <w:i w:val="0"/>
      <w:color w:val="365F91"/>
      <w:sz w:val="28"/>
    </w:rPr>
  </w:style>
  <w:style w:styleId="Style_73_ch" w:type="character">
    <w:name w:val="Заголовок оглавления2"/>
    <w:basedOn w:val="Style_20_ch"/>
    <w:link w:val="Style_73"/>
    <w:rPr>
      <w:rFonts w:ascii="Cambria" w:hAnsi="Cambria"/>
      <w:i w:val="0"/>
      <w:color w:val="365F91"/>
      <w:sz w:val="28"/>
    </w:rPr>
  </w:style>
  <w:style w:styleId="Style_4" w:type="paragraph">
    <w:name w:val="ConsPlusNormal"/>
    <w:link w:val="Style_4_ch"/>
    <w:pPr>
      <w:widowControl w:val="0"/>
      <w:ind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74" w:type="table">
    <w:name w:val="Table Grid"/>
    <w:basedOn w:val="Style_75"/>
    <w:rPr>
      <w:rFonts w:ascii="Calibri" w:hAnsi="Calibri"/>
      <w:sz w:val="22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7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2025-12-09T13:03:29Z</dcterms:created>
  <dcterms:modified xsi:type="dcterms:W3CDTF">2026-08-06T11:25:24Z</dcterms:modified>
</cp:coreProperties>
</file>