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F6" w:rsidRDefault="001076CF">
      <w:pPr>
        <w:pStyle w:val="a3"/>
        <w:jc w:val="center"/>
      </w:pPr>
      <w:r>
        <w:rPr>
          <w:b/>
          <w:bCs/>
          <w:color w:val="000000"/>
          <w:sz w:val="24"/>
          <w:szCs w:val="24"/>
        </w:rPr>
        <w:t>ЧАСТЬ III. ГРАДОСТРОИТЕЛЬНЫЕ РЕГЛА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МЕНТЫ</w:t>
      </w:r>
    </w:p>
    <w:p w:rsidR="00DF66F6" w:rsidRDefault="00DF66F6">
      <w:pPr>
        <w:sectPr w:rsidR="00DF66F6">
          <w:pgSz w:w="11906" w:h="16838"/>
          <w:pgMar w:top="7937" w:right="566" w:bottom="566" w:left="1700" w:header="170" w:footer="283" w:gutter="0"/>
          <w:cols w:space="720"/>
          <w:docGrid w:linePitch="360"/>
        </w:sectPr>
      </w:pPr>
    </w:p>
    <w:p w:rsidR="00DF66F6" w:rsidRDefault="001076CF">
      <w:pPr>
        <w:keepNext/>
        <w:spacing w:before="120" w:after="120" w:line="276" w:lineRule="auto"/>
        <w:jc w:val="center"/>
      </w:pPr>
      <w:r>
        <w:rPr>
          <w:b/>
          <w:bCs/>
          <w:color w:val="000000"/>
          <w:sz w:val="24"/>
          <w:szCs w:val="24"/>
        </w:rPr>
        <w:lastRenderedPageBreak/>
        <w:t>СОДЕРЖАНИЕ</w:t>
      </w:r>
    </w:p>
    <w:sdt>
      <w:sdtPr>
        <w:rPr>
          <w:color w:val="auto"/>
          <w:sz w:val="20"/>
          <w:szCs w:val="20"/>
        </w:rPr>
        <w:alias w:val="Оглавление"/>
        <w:id w:val="194153527"/>
      </w:sdtPr>
      <w:sdtEndPr/>
      <w:sdtContent>
        <w:p w:rsidR="008C6CAF" w:rsidRDefault="00DF66F6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1076CF">
            <w:instrText>TOC \h \o "1-5" \p "</w:instrText>
          </w:r>
          <w:r w:rsidR="001076CF">
            <w:tab/>
            <w:instrText>" \x</w:instrText>
          </w:r>
          <w:r>
            <w:fldChar w:fldCharType="separate"/>
          </w:r>
          <w:hyperlink w:anchor="_Toc216257869" w:history="1">
            <w:r w:rsidR="008C6CAF" w:rsidRPr="00396E52">
              <w:rPr>
                <w:rStyle w:val="a5"/>
                <w:noProof/>
              </w:rPr>
              <w:t>Глава 7. Градостроительные регламенты в части видов разрешенного использования земельных участков и объектов капитального строительства 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_Toc216257869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83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0" w:history="1">
            <w:r w:rsidR="008C6CAF" w:rsidRPr="00396E52">
              <w:rPr>
                <w:rStyle w:val="a5"/>
                <w:noProof/>
              </w:rPr>
              <w:t>Статья 34. Градостроительные регламенты для жилых зон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_Toc216257870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83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1" w:history="1">
            <w:r w:rsidR="008C6CAF" w:rsidRPr="00396E52">
              <w:rPr>
                <w:rStyle w:val="a5"/>
                <w:noProof/>
              </w:rPr>
              <w:t>Статья 42. Требования к архитектурно-градостроительному облику объектов капитального строительства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_Toc216257871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91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2" w:history="1">
            <w:r w:rsidR="008C6CAF" w:rsidRPr="00396E52">
              <w:rPr>
                <w:rStyle w:val="a5"/>
                <w:noProof/>
              </w:rPr>
              <w:t>Статья 42.1 Требования к архитектурно-градостроительному облику объектов жилого назначения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_Toc216257872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111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3" w:history="1">
            <w:r w:rsidR="008C6CAF" w:rsidRPr="00396E52">
              <w:rPr>
                <w:rStyle w:val="a5"/>
                <w:noProof/>
              </w:rPr>
              <w:t>Статья 42.2 Требования к архитектурно-градостроительному облику объектов социального обслуживания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_Toc216257873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117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4" w:history="1">
            <w:r w:rsidR="008C6CAF" w:rsidRPr="00396E52">
              <w:rPr>
                <w:rStyle w:val="a5"/>
                <w:noProof/>
              </w:rPr>
              <w:t>Статья 42.3 Требования к архитектурно-градостроительному облику объектов здравоохранения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_Toc216257874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120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5" w:history="1">
            <w:r w:rsidR="008C6CAF" w:rsidRPr="00396E52">
              <w:rPr>
                <w:rStyle w:val="a5"/>
                <w:noProof/>
              </w:rPr>
              <w:t>Статья 42.4 Требования к архитектурно-градостроительному облику объектов образования и просвещения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_Toc216257875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124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6" w:history="1">
            <w:r w:rsidR="008C6CAF" w:rsidRPr="00396E52">
              <w:rPr>
                <w:rStyle w:val="a5"/>
                <w:noProof/>
              </w:rPr>
              <w:t>Статья 42.5 Требования к архитектурно-градостроительному облику объектов культурного развития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_Toc216257876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128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7" w:history="1">
            <w:r w:rsidR="008C6CAF" w:rsidRPr="00396E52">
              <w:rPr>
                <w:rStyle w:val="a5"/>
                <w:noProof/>
              </w:rPr>
              <w:t>Статья 42.6 Требования к архитектурно-градостроительному облику объектов религиозного назначения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_Toc216257877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132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8" w:history="1">
            <w:r w:rsidR="008C6CAF" w:rsidRPr="00396E52">
              <w:rPr>
                <w:rStyle w:val="a5"/>
                <w:noProof/>
              </w:rPr>
              <w:t>Статья 42.7 Требования к архитектурно-градостроительному облику объектов физической культуры и спорта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_Toc216257878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135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79" w:history="1">
            <w:r w:rsidR="008C6CAF" w:rsidRPr="00396E52">
              <w:rPr>
                <w:rStyle w:val="a5"/>
                <w:noProof/>
              </w:rPr>
              <w:t>Статья 42.8 Требования к архитектурно-градостроительному облику объектов торгового, развлекательного, досугового назначения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_Toc216257879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139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80" w:history="1">
            <w:r w:rsidR="008C6CAF" w:rsidRPr="00396E52">
              <w:rPr>
                <w:rStyle w:val="a5"/>
                <w:noProof/>
              </w:rPr>
              <w:t>Статья 42.9 Требования к архитектурно-градостроительному облику объектов гостиничного обслуживания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_Toc216257880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142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81" w:history="1">
            <w:r w:rsidR="008C6CAF" w:rsidRPr="00396E52">
              <w:rPr>
                <w:rStyle w:val="a5"/>
                <w:noProof/>
              </w:rPr>
              <w:t>Статья 42.10 Требования к архитектурно-градостроительному облику объектов административно-делового назначения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_Toc216257881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146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82" w:history="1">
            <w:r w:rsidR="008C6CAF" w:rsidRPr="00396E52">
              <w:rPr>
                <w:rStyle w:val="a5"/>
                <w:noProof/>
              </w:rPr>
              <w:t>Статья 42.11 Требования к архитектурно-градостроительному облику объектов производственного или складского назначения (в том числе сельскохозяйственного)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_Toc216257882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150</w:t>
            </w:r>
            <w:r w:rsidR="008C6CAF">
              <w:rPr>
                <w:noProof/>
              </w:rPr>
              <w:fldChar w:fldCharType="end"/>
            </w:r>
          </w:hyperlink>
        </w:p>
        <w:p w:rsidR="008C6CAF" w:rsidRDefault="009126E5">
          <w:pPr>
            <w:pStyle w:val="1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16257883" w:history="1">
            <w:r w:rsidR="008C6CAF" w:rsidRPr="00396E52">
              <w:rPr>
                <w:rStyle w:val="a5"/>
                <w:noProof/>
              </w:rPr>
              <w:t>ПРИЛОЖЕНИЕ</w:t>
            </w:r>
            <w:r w:rsidR="008C6CAF" w:rsidRPr="00396E52">
              <w:rPr>
                <w:rStyle w:val="a5"/>
                <w:noProof/>
              </w:rPr>
              <w:br/>
              <w:t>СВЕДЕНИЯ О ГРАНИЦАХ ТЕРРИТОРИАЛЬНЫХ ЗОН</w:t>
            </w:r>
            <w:r w:rsidR="008C6CAF">
              <w:rPr>
                <w:noProof/>
              </w:rPr>
              <w:tab/>
            </w:r>
            <w:r w:rsidR="008C6CAF">
              <w:rPr>
                <w:noProof/>
              </w:rPr>
              <w:fldChar w:fldCharType="begin"/>
            </w:r>
            <w:r w:rsidR="008C6CAF">
              <w:rPr>
                <w:noProof/>
              </w:rPr>
              <w:instrText xml:space="preserve"> PAGEREF _Toc216257883 \h </w:instrText>
            </w:r>
            <w:r w:rsidR="008C6CAF">
              <w:rPr>
                <w:noProof/>
              </w:rPr>
            </w:r>
            <w:r w:rsidR="008C6CAF">
              <w:rPr>
                <w:noProof/>
              </w:rPr>
              <w:fldChar w:fldCharType="separate"/>
            </w:r>
            <w:r w:rsidR="001076CF">
              <w:rPr>
                <w:noProof/>
              </w:rPr>
              <w:t>154</w:t>
            </w:r>
            <w:r w:rsidR="008C6CAF">
              <w:rPr>
                <w:noProof/>
              </w:rPr>
              <w:fldChar w:fldCharType="end"/>
            </w:r>
          </w:hyperlink>
        </w:p>
        <w:p w:rsidR="00DF66F6" w:rsidRDefault="00DF66F6">
          <w:r>
            <w:fldChar w:fldCharType="end"/>
          </w:r>
        </w:p>
      </w:sdtContent>
    </w:sdt>
    <w:p w:rsidR="00DF66F6" w:rsidRDefault="00DF66F6">
      <w:pPr>
        <w:sectPr w:rsidR="00DF66F6">
          <w:footerReference w:type="default" r:id="rId7"/>
          <w:pgSz w:w="11906" w:h="16838"/>
          <w:pgMar w:top="566" w:right="850" w:bottom="566" w:left="1700" w:header="170" w:footer="283" w:gutter="0"/>
          <w:pgNumType w:start="82"/>
          <w:cols w:space="720"/>
          <w:docGrid w:linePitch="360"/>
        </w:sectPr>
      </w:pPr>
    </w:p>
    <w:p w:rsidR="00DF66F6" w:rsidRDefault="001076CF">
      <w:pPr>
        <w:pStyle w:val="11"/>
        <w:keepNext/>
        <w:spacing w:before="120"/>
      </w:pPr>
      <w:bookmarkStart w:id="1" w:name="_Toc216257869"/>
      <w:r>
        <w:lastRenderedPageBreak/>
        <w:t>Глава 7. Градостроительные регламенты в части видов разрешенного использования земельных участков и объектов капитального строительства 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</w:t>
      </w:r>
      <w:bookmarkEnd w:id="1"/>
    </w:p>
    <w:p w:rsidR="00DF66F6" w:rsidRDefault="001076CF">
      <w:pPr>
        <w:pStyle w:val="11"/>
        <w:keepNext/>
      </w:pPr>
      <w:bookmarkStart w:id="2" w:name="_Toc216257870"/>
      <w:r>
        <w:rPr>
          <w:caps w:val="0"/>
        </w:rPr>
        <w:t>Статья 34. Градостроительные регламенты для жилых зон</w:t>
      </w:r>
      <w:bookmarkEnd w:id="2"/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 жилых зонах допускается размещение отдельно стоящих, встроенных или пристроенных объектов социального и коммунально- 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Максимальный процент застройки, устанавливаемый для строительства, реконструкции объектов капитального строительства на земельных участках с видами разрешенного использования с кодами 2.1.1, 2.2, 2.5, 2.6 Классификатора не учитывает площадь земельного участка, которая может быть застроена объектами со вспомогательными видами разрешенного использования, не предназначенными для постоянного проживания.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Земельный участок для индивидуального жилищного строительства предназначен для возведения одного жилого дома и размещения индивидуальных гаражей и подсобных сооружений, необходимых для его обслуживания.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Максимальный процент застройки, устанавливаемый для строительства, реконструкции объектов капитального строительства на земельных участках с видами разрешенного использования с кодом 2.1 Классификатора не учитывает площадь земельного участка, которая может быть застроена гаражами, строениями и сооружениями вспомогательного использования, не предназначенными для постоянного проживания.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 соответствии с Классификатором вид разрешенного использования «Жилая застройка» – код 2.0, включает в себя размещение жилых домов различного вида.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 состав жилых зон включены: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специализированная зона многоквартирной жилой застройки (Ж-1.2).</w:t>
      </w:r>
    </w:p>
    <w:p w:rsidR="00DF66F6" w:rsidRDefault="001076C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Ж-1.2 - СПЕЦИАЛИЗИРОВАННАЯ ЗОНА МНОГОКВАРТИРНОЙ ЖИЛОЙ ЗАСТРОЙКИ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Специализированная зона многоквартирной жилой застройки Ж-1.2 установлена для обеспечения условий формирования жилых районов из многоквартирных жилых домов. </w:t>
      </w:r>
    </w:p>
    <w:p w:rsidR="00DF66F6" w:rsidRDefault="001076C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lastRenderedPageBreak/>
        <w:t>Основные виды разрешенного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"/>
        <w:gridCol w:w="565"/>
        <w:gridCol w:w="3402"/>
        <w:gridCol w:w="1360"/>
        <w:gridCol w:w="1985"/>
        <w:gridCol w:w="1985"/>
        <w:gridCol w:w="2835"/>
        <w:gridCol w:w="1701"/>
        <w:gridCol w:w="2041"/>
      </w:tblGrid>
      <w:tr w:rsidR="00DF66F6"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****</w:t>
            </w:r>
          </w:p>
        </w:tc>
      </w:tr>
      <w:tr w:rsidR="00DF66F6"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>
            <w:pPr>
              <w:keepNext/>
            </w:pPr>
          </w:p>
        </w:tc>
        <w:tc>
          <w:tcPr>
            <w:tcW w:w="0" w:type="auto"/>
            <w:vMerge/>
          </w:tcPr>
          <w:p w:rsidR="00DF66F6" w:rsidRDefault="00DF66F6"/>
        </w:tc>
        <w:tc>
          <w:tcPr>
            <w:tcW w:w="0" w:type="auto"/>
            <w:vMerge/>
          </w:tcPr>
          <w:p w:rsidR="00DF66F6" w:rsidRDefault="00DF66F6"/>
        </w:tc>
        <w:tc>
          <w:tcPr>
            <w:tcW w:w="0" w:type="auto"/>
            <w:vMerge/>
          </w:tcPr>
          <w:p w:rsidR="00DF66F6" w:rsidRDefault="00DF66F6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DF66F6" w:rsidRDefault="00DF66F6"/>
        </w:tc>
        <w:tc>
          <w:tcPr>
            <w:tcW w:w="0" w:type="auto"/>
            <w:vMerge/>
          </w:tcPr>
          <w:p w:rsidR="00DF66F6" w:rsidRDefault="00DF66F6"/>
        </w:tc>
        <w:tc>
          <w:tcPr>
            <w:tcW w:w="0" w:type="auto"/>
            <w:vMerge/>
          </w:tcPr>
          <w:p w:rsidR="00DF66F6" w:rsidRDefault="00DF66F6"/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1 200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эт. - 59,0%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 xml:space="preserve"> 2 эт. - 50,8%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 xml:space="preserve"> 3 эт. - 44,1%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 xml:space="preserve"> 4 эт. - 38,9%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1 200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 эт. - 34,8%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 эт. - 31,5%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 эт. - 28,8%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8 эт. - 26,5%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1 200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500</w:t>
            </w:r>
            <w:r>
              <w:t xml:space="preserve"> (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  <w:r>
              <w:t xml:space="preserve"> (</w:t>
            </w:r>
            <w:r>
              <w:rPr>
                <w:sz w:val="22"/>
                <w:szCs w:val="22"/>
              </w:rPr>
              <w:t>100%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2.7.2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500</w:t>
            </w:r>
            <w:r>
              <w:t xml:space="preserve"> (</w:t>
            </w: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20 000</w:t>
            </w:r>
            <w:r>
              <w:t xml:space="preserve"> (</w:t>
            </w:r>
            <w:r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  <w:r>
              <w:t xml:space="preserve"> (</w:t>
            </w:r>
            <w:r>
              <w:rPr>
                <w:sz w:val="22"/>
                <w:szCs w:val="22"/>
              </w:rPr>
              <w:t>100%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t xml:space="preserve"> (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**</w:t>
            </w:r>
            <w:r>
              <w:t>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3.5.1</w:t>
            </w:r>
          </w:p>
        </w:tc>
        <w:tc>
          <w:tcPr>
            <w:tcW w:w="0" w:type="auto"/>
            <w:gridSpan w:val="3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3.9.1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Связь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Автомобильный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12.0.1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12.0.2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DF66F6" w:rsidRDefault="001076C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Вспомогательные виды разрешенного использования</w:t>
      </w:r>
    </w:p>
    <w:p w:rsidR="00DF66F6" w:rsidRDefault="001076CF">
      <w:pPr>
        <w:keepNext/>
        <w:spacing w:line="276" w:lineRule="auto"/>
        <w:ind w:firstLine="566"/>
      </w:pPr>
      <w:r>
        <w:rPr>
          <w:sz w:val="24"/>
          <w:szCs w:val="24"/>
        </w:rPr>
        <w:t>1. Коммунальное обслуживание - 3.1</w:t>
      </w:r>
    </w:p>
    <w:p w:rsidR="00DF66F6" w:rsidRDefault="001076CF">
      <w:pPr>
        <w:keepNext/>
        <w:spacing w:line="276" w:lineRule="auto"/>
        <w:ind w:firstLine="566"/>
      </w:pPr>
      <w:r>
        <w:rPr>
          <w:sz w:val="24"/>
          <w:szCs w:val="24"/>
        </w:rPr>
        <w:t>2. Связь - 6.8</w:t>
      </w:r>
    </w:p>
    <w:p w:rsidR="00DF66F6" w:rsidRDefault="001076CF">
      <w:pPr>
        <w:spacing w:after="120" w:line="276" w:lineRule="auto"/>
        <w:ind w:firstLine="566"/>
      </w:pPr>
      <w:r>
        <w:rPr>
          <w:sz w:val="24"/>
          <w:szCs w:val="24"/>
        </w:rPr>
        <w:t>3. Обеспечение внутреннего правопорядка - 8.3</w:t>
      </w:r>
    </w:p>
    <w:p w:rsidR="00DF66F6" w:rsidRDefault="001076CF">
      <w:pPr>
        <w:keepNext/>
        <w:spacing w:before="120" w:after="120" w:line="276" w:lineRule="auto"/>
        <w:jc w:val="center"/>
      </w:pPr>
      <w:r>
        <w:rPr>
          <w:sz w:val="24"/>
          <w:szCs w:val="24"/>
        </w:rPr>
        <w:t>Условно разрешенные виды использования</w:t>
      </w:r>
    </w:p>
    <w:tbl>
      <w:tblPr>
        <w:tblW w:w="1588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"/>
        <w:gridCol w:w="549"/>
        <w:gridCol w:w="3215"/>
        <w:gridCol w:w="1358"/>
        <w:gridCol w:w="1802"/>
        <w:gridCol w:w="2559"/>
        <w:gridCol w:w="2697"/>
        <w:gridCol w:w="1687"/>
        <w:gridCol w:w="2007"/>
      </w:tblGrid>
      <w:tr w:rsidR="00DF66F6"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>
            <w:pPr>
              <w:keepNext/>
            </w:pPr>
          </w:p>
        </w:tc>
        <w:tc>
          <w:tcPr>
            <w:tcW w:w="566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401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ВРИ</w:t>
            </w:r>
          </w:p>
        </w:tc>
        <w:tc>
          <w:tcPr>
            <w:tcW w:w="136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(числовое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обозначение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ВРИ)</w:t>
            </w:r>
          </w:p>
        </w:tc>
        <w:tc>
          <w:tcPr>
            <w:tcW w:w="3968" w:type="dxa"/>
            <w:gridSpan w:val="2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Предельные размеры</w:t>
            </w:r>
            <w:r>
              <w:rPr>
                <w:b/>
                <w:bCs/>
                <w:sz w:val="22"/>
                <w:szCs w:val="22"/>
              </w:rPr>
              <w:br/>
              <w:t>земельных участков</w:t>
            </w:r>
            <w:r>
              <w:rPr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2834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Максимальный процент застройки, в том числе в зависимости от количества надземных этажей</w:t>
            </w:r>
          </w:p>
        </w:tc>
        <w:tc>
          <w:tcPr>
            <w:tcW w:w="170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Минимальные</w:t>
            </w:r>
            <w:r>
              <w:rPr>
                <w:b/>
                <w:bCs/>
                <w:sz w:val="22"/>
                <w:szCs w:val="22"/>
              </w:rPr>
              <w:br/>
              <w:t>отступы от</w:t>
            </w:r>
            <w:r>
              <w:rPr>
                <w:b/>
                <w:bCs/>
                <w:sz w:val="22"/>
                <w:szCs w:val="22"/>
              </w:rPr>
              <w:br/>
              <w:t>границ</w:t>
            </w:r>
            <w:r>
              <w:rPr>
                <w:b/>
                <w:bCs/>
                <w:sz w:val="22"/>
                <w:szCs w:val="22"/>
              </w:rPr>
              <w:br/>
              <w:t>земельного</w:t>
            </w:r>
            <w:r>
              <w:rPr>
                <w:b/>
                <w:bCs/>
                <w:sz w:val="22"/>
                <w:szCs w:val="22"/>
              </w:rPr>
              <w:br/>
              <w:t>участка (м)</w:t>
            </w:r>
          </w:p>
        </w:tc>
        <w:tc>
          <w:tcPr>
            <w:tcW w:w="204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  <w:r>
              <w:rPr>
                <w:b/>
                <w:bCs/>
                <w:sz w:val="22"/>
                <w:szCs w:val="22"/>
              </w:rPr>
              <w:br/>
              <w:t>архитектурно-</w:t>
            </w:r>
            <w:r>
              <w:rPr>
                <w:b/>
                <w:bCs/>
                <w:sz w:val="22"/>
                <w:szCs w:val="22"/>
              </w:rPr>
              <w:br/>
              <w:t>градострои-</w:t>
            </w:r>
            <w:r>
              <w:rPr>
                <w:b/>
                <w:bCs/>
                <w:sz w:val="22"/>
                <w:szCs w:val="22"/>
              </w:rPr>
              <w:br/>
              <w:t>тельному</w:t>
            </w:r>
            <w:r>
              <w:rPr>
                <w:b/>
                <w:bCs/>
                <w:sz w:val="22"/>
                <w:szCs w:val="22"/>
              </w:rPr>
              <w:br/>
              <w:t>облику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****</w:t>
            </w:r>
          </w:p>
        </w:tc>
      </w:tr>
      <w:tr w:rsidR="00DF66F6">
        <w:trPr>
          <w:cantSplit/>
          <w:tblHeader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>
            <w:pPr>
              <w:keepNext/>
            </w:pPr>
          </w:p>
        </w:tc>
        <w:tc>
          <w:tcPr>
            <w:tcW w:w="0" w:type="auto"/>
            <w:vMerge/>
          </w:tcPr>
          <w:p w:rsidR="00DF66F6" w:rsidRDefault="00DF66F6"/>
        </w:tc>
        <w:tc>
          <w:tcPr>
            <w:tcW w:w="0" w:type="auto"/>
            <w:vMerge/>
          </w:tcPr>
          <w:p w:rsidR="00DF66F6" w:rsidRDefault="00DF66F6"/>
        </w:tc>
        <w:tc>
          <w:tcPr>
            <w:tcW w:w="0" w:type="auto"/>
            <w:vMerge/>
          </w:tcPr>
          <w:p w:rsidR="00DF66F6" w:rsidRDefault="00DF66F6"/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min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keepLines/>
              <w:jc w:val="center"/>
            </w:pPr>
            <w:r>
              <w:rPr>
                <w:b/>
                <w:bCs/>
                <w:sz w:val="22"/>
                <w:szCs w:val="22"/>
              </w:rPr>
              <w:t>max</w:t>
            </w:r>
          </w:p>
        </w:tc>
        <w:tc>
          <w:tcPr>
            <w:tcW w:w="0" w:type="auto"/>
            <w:vMerge/>
          </w:tcPr>
          <w:p w:rsidR="00DF66F6" w:rsidRDefault="00DF66F6"/>
        </w:tc>
        <w:tc>
          <w:tcPr>
            <w:tcW w:w="0" w:type="auto"/>
            <w:vMerge/>
          </w:tcPr>
          <w:p w:rsidR="00DF66F6" w:rsidRDefault="00DF66F6"/>
        </w:tc>
        <w:tc>
          <w:tcPr>
            <w:tcW w:w="0" w:type="auto"/>
            <w:vMerge/>
          </w:tcPr>
          <w:p w:rsidR="00DF66F6" w:rsidRDefault="00DF66F6"/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2 500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подлежaт установлению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Рынки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(ст. 42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Правил)</w:t>
            </w:r>
          </w:p>
        </w:tc>
      </w:tr>
      <w:tr w:rsidR="00DF66F6">
        <w:trPr>
          <w:cantSplit/>
        </w:trPr>
        <w:tc>
          <w:tcPr>
            <w:tcW w:w="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6F6" w:rsidRDefault="00DF66F6"/>
        </w:tc>
        <w:tc>
          <w:tcPr>
            <w:tcW w:w="566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36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0" w:type="auto"/>
            <w:gridSpan w:val="4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распространяется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Не подлежат</w:t>
            </w:r>
          </w:p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установлению</w:t>
            </w:r>
          </w:p>
        </w:tc>
      </w:tr>
    </w:tbl>
    <w:p w:rsidR="00DF66F6" w:rsidRDefault="001076CF">
      <w:pPr>
        <w:spacing w:before="120" w:line="276" w:lineRule="auto"/>
        <w:ind w:firstLine="566"/>
        <w:jc w:val="both"/>
      </w:pPr>
      <w:r>
        <w:rPr>
          <w:sz w:val="24"/>
          <w:szCs w:val="24"/>
        </w:rPr>
        <w:t>* - Минимальный размер земельного участка не распространяется на земельные участки, формируемые под существующими многоквартирными жилыми домами, а определяется проектом межевания территории или схемой расположения земельного участка на кадастровой плане территории, оформляемой с учетом изменений законодательства с 01.09.2022.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** - Существующие объекты гаражного назначения, предназначенные для хранения личного автотранспорта граждан, имеющих одну или более общих стен с другими объектами гаражного назначения, предназначенные для хранения личного автотранспорта граждан.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*** - Для видов разрешенного использования 4.4 (Магазины) отступы от многоквартирных домов 50 м, если иное не подтверждено требованиями технических регламентов.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**** - Требования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частей земельных участков, расположенных в границах территорий (Тип 1.1, Тип 2.1), в соответствии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Максимальный класс опасности (по санитарной классификации) объектов капитального строительства, размещаемых на территории участков зоны – V.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Иные показатели по параметрам застройки зоны Ж-1.2: территории объектов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нормативами градостроительного проектирования.</w:t>
      </w:r>
    </w:p>
    <w:p w:rsidR="00DF66F6" w:rsidRDefault="00DF66F6">
      <w:pPr>
        <w:sectPr w:rsidR="00DF66F6">
          <w:pgSz w:w="16838" w:h="11906" w:orient="landscape"/>
          <w:pgMar w:top="1700" w:right="566" w:bottom="850" w:left="566" w:header="170" w:footer="283" w:gutter="0"/>
          <w:cols w:space="720"/>
          <w:docGrid w:linePitch="360"/>
        </w:sectPr>
      </w:pPr>
    </w:p>
    <w:p w:rsidR="00DF66F6" w:rsidRDefault="001076CF">
      <w:pPr>
        <w:pStyle w:val="11"/>
        <w:keepNext/>
      </w:pPr>
      <w:bookmarkStart w:id="3" w:name="_Toc216257871"/>
      <w:r>
        <w:rPr>
          <w:caps w:val="0"/>
        </w:rPr>
        <w:t>Статья 42. Требования к архитектурно-градостроительному облику объектов капитального строительства</w:t>
      </w:r>
      <w:bookmarkEnd w:id="3"/>
    </w:p>
    <w:p w:rsidR="00DF66F6" w:rsidRDefault="001076C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1. В соответствие с Градостроительным кодексом Российской Федерации и Требованиями к архитектурно-градостроительному облику объекта капитального строительства, утвержденными Постановлением Правительства Российской Федерации от 29.05.2023 № 857 для видов разрешенного использования в градостроительном регламенте могут быть установлены следующие требования:</w:t>
      </w:r>
    </w:p>
    <w:p w:rsidR="00DF66F6" w:rsidRDefault="001076C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объемно-пространственным характеристикам объектов капитального строительства (далее – Требование №1);</w:t>
      </w:r>
    </w:p>
    <w:p w:rsidR="00DF66F6" w:rsidRDefault="001076C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архитектурно-стилистическим характеристикам объектов капитального строительства (далее – Требование №2);</w:t>
      </w:r>
    </w:p>
    <w:p w:rsidR="00DF66F6" w:rsidRDefault="001076C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цветовым решениям зданий, строений и сооружений (цвета и оттенки, используемые для отделки фасадов с указанием палитры) (далее – Требование №3);</w:t>
      </w:r>
    </w:p>
    <w:p w:rsidR="00DF66F6" w:rsidRDefault="001076C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отделочным и (или) строительным материалам, определяющие архитектурный облик зданий, строений и сооружений (материалы для отделки фасадов) (далее – Требование №4);</w:t>
      </w:r>
    </w:p>
    <w:p w:rsidR="00DF66F6" w:rsidRDefault="001076C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размещению технического и инженерного оборудования на фасадах и кровлях зданий, строений и сооружений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 (далее – Требование №5);</w:t>
      </w:r>
    </w:p>
    <w:p w:rsidR="00DF66F6" w:rsidRDefault="001076C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требования к подсветке фасадов зданий, строений и сооружений (перечисление архитектурных приемов внешнего освещения их фасадов и цветов, а также оттенков такого освещения с указанием палитры) (далее – Требование №6).</w:t>
      </w:r>
    </w:p>
    <w:p w:rsidR="00DF66F6" w:rsidRDefault="001076C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2. Требования к архитектурно-градостроительному облику распространяются на объекты капитального строительства и территории, полностью или частично размещаемые в пределах частей земельных участков, расположенных в границах территорий (Тип 1.1, Тип 2.1), в соответствии с картой градостроительного зонирования с установлением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DF66F6" w:rsidRDefault="001076CF">
      <w:pPr>
        <w:tabs>
          <w:tab w:val="left" w:pos="1133"/>
        </w:tabs>
        <w:spacing w:line="276" w:lineRule="auto"/>
        <w:ind w:firstLine="566"/>
        <w:jc w:val="both"/>
      </w:pPr>
      <w:r>
        <w:rPr>
          <w:sz w:val="24"/>
          <w:szCs w:val="24"/>
        </w:rPr>
        <w:t>3. Для многофункциональных зданий (в случае, если объект капитального строительства вмещает в себя несколько функций) требования к архитектурно-градостроительному облику объекта капитального строительства применяются относительно той функции, которая в процентном соотношении занимает наибольшую площадь от всего объекта.</w:t>
      </w:r>
    </w:p>
    <w:p w:rsidR="00DF66F6" w:rsidRDefault="001076CF">
      <w:pPr>
        <w:spacing w:before="120" w:after="120" w:line="276" w:lineRule="auto"/>
        <w:jc w:val="center"/>
      </w:pPr>
      <w:r>
        <w:rPr>
          <w:b/>
          <w:bCs/>
          <w:sz w:val="24"/>
          <w:szCs w:val="24"/>
        </w:rPr>
        <w:t>Территории, в границах которых предусматриваются требования к архитектурно-градостроительному облику объектов капитального строительства (Тип 1.1)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Перечень видов разрешенного использования земельных участков, полностью или частично расположенных в границах территорий (Тип 1.1), в отношении которых предусматриваются требования к архитектурно-градостроительному облику объектов капитального строительства.</w:t>
      </w:r>
    </w:p>
    <w:tbl>
      <w:tblPr>
        <w:tblW w:w="963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"/>
        <w:gridCol w:w="2516"/>
        <w:gridCol w:w="1082"/>
        <w:gridCol w:w="3930"/>
        <w:gridCol w:w="1750"/>
      </w:tblGrid>
      <w:tr w:rsidR="00DF66F6">
        <w:trPr>
          <w:tblHeader/>
        </w:trPr>
        <w:tc>
          <w:tcPr>
            <w:tcW w:w="8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вида разрешенного использования</w:t>
            </w:r>
          </w:p>
        </w:tc>
        <w:tc>
          <w:tcPr>
            <w:tcW w:w="113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класси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фикатора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капитального строительства</w:t>
            </w:r>
          </w:p>
        </w:tc>
        <w:tc>
          <w:tcPr>
            <w:tcW w:w="226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АГО ОКС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жилых домов различного вида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малоэтажных многоквартирных домов (многоквартирные дома высотой до 4 этажей, включая мансардный);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размещение гаражей для собственных нужд и иных вспомогательных сооружений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многоквартирных домов этажностью не выше восьми этажей; размещение подземных гаражей и автостоянок; 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многоквартирных домов этажностью девять этажей и выше;  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Социальное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42.2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42.2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42.2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42.3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42.3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42.3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воспитания, образования и просвещения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42.4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42.4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42.4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Культурное развитие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размещения объектов культуры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домов культуры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планетариев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музеев, выставочных залов, художественных галерей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кинотеатров и кинозалов, театров, филармоний, концертных залов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библиотек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Цирки и зверинцы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органов и организаций общественного управления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3.8.1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для обеспечения научной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3.9.2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Ветеринарное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Предпринимательство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Рынки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гостиниц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42.9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Развлечение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развлечения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4.8.1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азартных игр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4.8.2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азартных игр в игорных зонах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4.8.3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автомобильных моек, а также размещение магазинов сопутствующей торговли, открытых моек самообслуживания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для занятия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42.7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42.7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42.7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42.7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42.9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в том числе железнодорожных вокзалов и станций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7.2.2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9.2.1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населения,  лечебно-оздоровительных лагерей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42.9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</w:tbl>
    <w:p w:rsidR="00DF66F6" w:rsidRDefault="001076CF">
      <w:pPr>
        <w:spacing w:before="120" w:after="120" w:line="276" w:lineRule="auto"/>
        <w:jc w:val="center"/>
      </w:pPr>
      <w:r>
        <w:rPr>
          <w:b/>
          <w:bCs/>
          <w:sz w:val="24"/>
          <w:szCs w:val="24"/>
        </w:rPr>
        <w:t>Территории, в границах которых предусматриваются требования к архитектурно-градостроительному облику объектов капитального строительства (Тип 2.1)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Перечень видов разрешенного использования земельных участков, полностью или частично расположенных в границах территорий (Тип 2.1), в отношении которых предусматриваются требования к архитектурно-градостроительному облику объектов капитального строительства.</w:t>
      </w:r>
    </w:p>
    <w:tbl>
      <w:tblPr>
        <w:tblW w:w="963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796"/>
        <w:gridCol w:w="1081"/>
        <w:gridCol w:w="3660"/>
        <w:gridCol w:w="1745"/>
      </w:tblGrid>
      <w:tr w:rsidR="00DF66F6">
        <w:trPr>
          <w:tblHeader/>
        </w:trPr>
        <w:tc>
          <w:tcPr>
            <w:tcW w:w="85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вида разрешенного использования</w:t>
            </w:r>
          </w:p>
        </w:tc>
        <w:tc>
          <w:tcPr>
            <w:tcW w:w="1133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класси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фикатора</w:t>
            </w:r>
          </w:p>
        </w:tc>
        <w:tc>
          <w:tcPr>
            <w:tcW w:w="3401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капитального строительства</w:t>
            </w:r>
          </w:p>
        </w:tc>
        <w:tc>
          <w:tcPr>
            <w:tcW w:w="2267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Требования к</w:t>
            </w:r>
          </w:p>
          <w:p w:rsidR="00DF66F6" w:rsidRDefault="001076CF">
            <w:pPr>
              <w:keepNext/>
              <w:jc w:val="center"/>
            </w:pPr>
            <w:r>
              <w:rPr>
                <w:b/>
                <w:bCs/>
                <w:sz w:val="22"/>
                <w:szCs w:val="22"/>
              </w:rPr>
              <w:t>АГО ОКС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жилых домов различного вида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малоэтажных многоквартирных домов (многоквартирные дома высотой до 4 этажей, включая мансардный);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размещение гаражей для собственных нужд и иных вспомогательных сооружений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многоквартирных домов этажностью не выше восьми этажей; размещение подземных гаражей и автостоянок; 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Многоэтажная жилая застройка (высотная застройка)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многоквартирных домов этажностью девять этажей и выше;  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жилой застройки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Хранение автотранспорта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2.7.1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Социальное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42.2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42.2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42.2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Оказание услуг связи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3.2.3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Бытовое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42.3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42.3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42.3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Образование и просвещение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воспитания, образования и просвещения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42.4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42.4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3.5.2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42.4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Культурное развитие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размещения объектов культуры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музеев, выставочных залов, художественных галерей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домов культуры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библиотек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кинотеатров и кинозалов, театров, филармоний, концертных залов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планетариев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Цирки и зверинцы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3.6.3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42.5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Общественное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органов и организаций общественного управления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3.8.1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научной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для обеспечения научной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3.9.2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3.9.3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Ветеринарное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3.10.1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Приюты для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Предпринимательство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Деловое управление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Рынки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Магазины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42.10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Общественное питание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гостиниц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42.9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Развлечение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развлечения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4.8.1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азартных игр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4.8.2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Проведение азартных игр в игорных зонах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4.8.3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Служебные гаражи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Объекты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Автомобильные мойки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4.9.1.3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автомобильных моек, а также размещение магазинов сопутствующей торговли, открытых моек самообслуживания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Ремонт автомобилей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4.9.1.4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42.8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 для занятия спортом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42.7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42.7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42.7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Авиационный 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42.7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Спортивные базы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5.1.7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42.7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5.2.1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42.9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в том числе подземных, и некапитальных объектов в целях разведки и добычи полезных ископаемых; размещение объектов капитального строительства 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Осуществление геологического изучения недр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6.1.1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Тяжелая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Легкая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6.3.1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6.3.2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 продукции фарфоро-фаянсовой промышленности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6.3.3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6.3.4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Пищевая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Склад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7.1.2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в том числе железнодорожных вокзалов и станций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7.2.2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Воздушный транспорт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42.11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  <w:tr w:rsidR="00DF66F6"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Санаторная деятельность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jc w:val="center"/>
            </w:pPr>
            <w:r>
              <w:rPr>
                <w:sz w:val="22"/>
                <w:szCs w:val="22"/>
              </w:rPr>
              <w:t>9.2.1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r>
              <w:rPr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населения,  лечебно-оздоровительных лагерей</w:t>
            </w:r>
          </w:p>
        </w:tc>
        <w:tc>
          <w:tcPr>
            <w:tcW w:w="0" w:type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устанавливаются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ст. 42.9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настоящих</w:t>
            </w:r>
          </w:p>
          <w:p w:rsidR="00DF66F6" w:rsidRDefault="001076CF">
            <w:pPr>
              <w:keepLines/>
              <w:jc w:val="center"/>
            </w:pPr>
            <w:r>
              <w:rPr>
                <w:sz w:val="22"/>
                <w:szCs w:val="22"/>
              </w:rPr>
              <w:t>Правил</w:t>
            </w:r>
          </w:p>
        </w:tc>
      </w:tr>
    </w:tbl>
    <w:p w:rsidR="00DF66F6" w:rsidRDefault="001076CF">
      <w:pPr>
        <w:pStyle w:val="11"/>
        <w:keepNext/>
        <w:spacing w:before="120"/>
      </w:pPr>
      <w:bookmarkStart w:id="4" w:name="_Toc216257872"/>
      <w:r>
        <w:rPr>
          <w:caps w:val="0"/>
        </w:rPr>
        <w:t>Статья 42.1 Требования к архитектурно-градостроительному облику объектов жилого назначения</w:t>
      </w:r>
      <w:bookmarkEnd w:id="4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Проектирование объектов капитального строительства жилого назначения вести с обеспечением принципов сомасштабности, ансамблевости и гармонии.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Архитектурно-градостроительный облик объекта необходимо формировать с учетом обеспечения интеграции объекта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 качестве строительных материалов должны использоваться долговечные, износостойкие, ремонтопригодные материалы (учитывать дальнейшую эксплуатацию).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Размещение объектов капитального строительства (далее – объект/объекты) в границах земельного участка должно производиться с учетом реализации требований нормативов градостроительного проектирования Московской области, утвержденных Постановлением Правительства Московской области от 17.08.2015 N 713/30 «Об утверждении нормативов градостроительного проектирования Московской области), стандартов качества, утвержденных Постановлением Правительства Московской области от 01.06.2021 № 435/18 «Об утверждении стандартов жилого помещения и комфортности проживания на территории Московской области», правил благоустройства территории муниципального образования Московской области в части нормируемого комплекса элементов благоустройства и парковочных мест.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объемно-пространственным характеристикам в части местоположения объекта (объектов):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обеспечение транспортной инфраструктуры для эксплуатации данных объектов (проезды, разворотные площадки, парковочные места и т.д.) с учетом интеграции в существующую улично-дорожную сеть;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обеспечение нормируемого количества мест для хранения автомобилей, в т.ч. для маломобильных групп населения, посетителей, работников, а также размещения мест для парковки электромобилей и гибридных автомобилей (в том числе инфраструктуру для обеспечения их зарядки);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при благоустройстве территорий: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предусматривать устройство территории многоквартирного дома (группы домов), примыкающей к жилым зданиям, планируемой к преимущественному пользованию, и предназначенной для обеспечения бытовых нужд и досуга жителей дома (группы домов), без доступа автомобилей (за исключением: экстренных служб), без размещения контейнерных площадок;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новые пешеходные коммуникации шириной не менее 2 м должны проектироваться непрерывными с организацией пешеходных переходов (в т.ч. с организацией понижения бортового камня) в местах пересечения с проезжей частью, без тупиков и примыкать к существующим пешеходным коммуникациям; не допускается проектирование планировочной организации земельных участков, при которой движение пешеходов осуществляется по проезжей части, местам стоянки (остановки, парковки) автомобилей;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выполнить все площадки (детские игровые, спортивные, площадки отдыха взрослого населения, площадки выгула собак, парковки, контейнерные площадки и другие) в одном уровне с пешеходными подходами к ним (тротуаром, дорожкой), без перепада высот и без инженерных колодцев;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г) предусмотреть нормируемый (обязательный) комплекс элементов благоустройства: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детскую площадку;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физкультурную (спортивную) площадку;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площадку отдыха;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контейнерные площадки (ТКО, КГО, СО);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 велосипедную парковку;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стационарные парковочные барьеры или повышенный бортовой камень;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- освещение;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информационный стенд дворовой территории.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Требования к объемно-пространственным и архитектурным решениям объекта (объектов):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для зданий с протяженностью фасадов более 50 м должны быть организованы сквозные (проходные) подъезды (входы в жилую часть), предусматривающие возможность входа и выхода, как на улицу, так и на придомовую территорию;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входы в жилую часть, а также помещения общественного назначения должны быть: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организованы с уровня земли/в одном уровне с прилегающим твердым покрытием с учетом создания «безбарьерной среды» (данное требование не распространяется на блокированную жилую застройку);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вход в помещения общественного назначения должен быть разделен со входом в жилую часть;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г)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с конструктивными элементами предусмотреть организованный отвод поверхностных стоков, за исключением стеклянных козырьков (навесов) вантового и зажимного типа.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д) входные площадки входов в подъезды многоквартирных жилых домов должны быть благоустроены скамьями для отдыха, урнами;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Устройство мусоропроводов не допускается;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Требования к объемно-пространственным и архитектурным решениям нежилых помещений первого этажа: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высота нежилых первых этажей жилых зданий должна быть не менее 4,2 м., а для высотных градостроительных комплексов – не менее 6 м.;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в жилых зданиях свыше 12 этажей не допускается размещение жилых помещений в первых этажах;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в жилых зданиях от 4 до 12 этажей необходимо предусматривать 6% нежилых помещений от площади квартир в пределах жилого квартала.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Площадь квартир (без учета площадей балконов, лоджий, террас, холодных кладовых и приквартирных тамбуров) должна составлять не менее чем 28 кв. м для однокомнатных квартир, включая квартиры, в которых жилая комната не отделена внутриквартирными перегородками от кухни, не менее чем 44 кв. м для двухкомнатных квартир.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Данное требование не распространяются на объекты капитального строительства, в отношении которых получено положительное заключение экспертизы проектной документации до 01.01.2025.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Требования к объемно-пространственным и архитектурным решениям подземных и наземных парковок: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запрещено использование зависимых машино-мест в обеспечение основного расчета потребности в местах хранения автотранспорта (в том числе при их размещении в многоуровневых паркингах, использовании механизированных систем хранения);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запрещено размещение мест хранения автотранспорта в зоне контейнерных площадок и зонах остановки спецтранспорта экстренных служб;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запрещено использование территории, предусмотренной документацией по планировке территории, для размещения объектов социальной инфраструктуры, в том числе для временной организации плоскостных парковок до реализации планируемых паркингов.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процент остекления, габариты оконных проемов нежилых помещений первых этажей должны быть больше процента остекления, габаритов оконных проемов жилой части здания;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предусматривать остекление балконов/лоджий;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Остекление балконов/лоджий допускается не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для французских балконов и балконов/лоджий, имеющих вынесенную площадку глубиной не более 50 см. от внутреннего края ограждения балкона до плоскости наружной стены дома в месте примыкания;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при условии, что конструкции вынесенных площадок не расположены друг над другом и/или материалы ограждения балкона/лоджии не позволяют остеклить его после завершения строительства. При этом застройщик (лицо, обеспечивающее строительство многоквартирного дома) после выдачи ему разрешения на ввод многоквартирного дома в эксплуатацию обязан указывать на ограничения по установке оконных и балконных блоков, балконного остекления на неостекленных при строительстве балконах/лоджиях лицом, принявшим от застройщика в эксплуатацию многоквартирный дом, собственниками, нанимателями, арендаторами помещений в многоквартирном доме.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в архитектурных решениях входных групп предусматривать индивидуализацию, выявление и разделение по функциональному назначению входных групп для жильцов/посетителей/работников, а также технических, эвакуационных выходов.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рекомендуется использовать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бетонная и керамическая плитка, природный камень (гранит или аналог), озелененная кровля,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композит, архитектурный бетон, натуральный камень, металлокассеты (в том числе профилированные), аквапанель, HPL-панель, линеарная панель)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 (данное требование не распространяется на блокированную жилую застройку); материалы примыкания (откосы, оливы) к светопрозрачным конструкциям должны быть выполнены из долговечных и вандалостойких материалов;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закрытие нижней части (метровой зоны) ограждения балкона/лоджии при сплошном остеклении: стемалит, стекло, тонированное в массе в заводских условиях, декоративная решетка, материал основной поверхности фасада и другие материалы, обеспечивающие целостность восприятия здания;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6) декоративные элементы: стеклофибробетон, природный камень (гранит или аналог),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применение керамогранита с креплением на видимых клямерах в отделке фасадов первых и вторых этажей;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группы, витражные конструкции: поливинилхлорид (ПВХ) (данное требование не распространяется на блокированную жилую застройку).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здания и кровле необходимо предусматривать мероприятия по их визуальному сокрытию и гармоничной интеграции в общее архитектурное решение.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3. Для всех помещений общественного и жилого назначения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 Для помещений жилого назначения из расчета не менее 2-х мест размещения для двухкомнатных квартир, ориентированных на две стороны света и трехкомнатных квартир, при дальнейшем увеличении количества жилых помещений (комнат) количество мест размещения также пропорционально увеличивается.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Размещение наружных блоков кондиционеров на балконах/лоджиях квартир не допускается без выделения на всю высоту этажа/помещения технической зоны, отделенной перегородкой, стеной от балкона/лоджии квартиры.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а) освещение входных групп жилой и общественной части (фасадные светильники, встроенная подсветка и иные). </w:t>
      </w:r>
    </w:p>
    <w:p w:rsidR="00DF66F6" w:rsidRDefault="001076CF">
      <w:pPr>
        <w:pStyle w:val="11"/>
        <w:keepNext/>
        <w:spacing w:before="120"/>
      </w:pPr>
      <w:bookmarkStart w:id="5" w:name="_Toc216257873"/>
      <w:r>
        <w:rPr>
          <w:caps w:val="0"/>
        </w:rPr>
        <w:t>Статья 42.2 Требования к архитектурно-градостроительному облику объектов социального обслуживания</w:t>
      </w:r>
      <w:bookmarkEnd w:id="5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 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бетонная и керамическая плитка, природный камень (гранит или аналог), озелененная кровля,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применение керамогранита с креплением на видимых клямерах в отделке фасадов первых и вторых этажей;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1076CF">
      <w:pPr>
        <w:pStyle w:val="11"/>
        <w:keepNext/>
        <w:spacing w:before="120"/>
      </w:pPr>
      <w:bookmarkStart w:id="6" w:name="_Toc216257874"/>
      <w:r>
        <w:rPr>
          <w:caps w:val="0"/>
        </w:rPr>
        <w:t>Статья 42.3 Требования к архитектурно-градостроительному облику объектов здравоохранения</w:t>
      </w:r>
      <w:bookmarkEnd w:id="6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бетонная и керамическая плитка, природный камень (гранит или аналог), озелененная кровля,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камень, металл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6) материалы, используемые для создания произведений декоративно-прикладного искусства панно должны соответствовать требованиям долговечности, ремонтопригодности, экономичности в эксплуатации.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массе,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1076CF">
      <w:pPr>
        <w:pStyle w:val="11"/>
        <w:keepNext/>
        <w:spacing w:before="120"/>
      </w:pPr>
      <w:bookmarkStart w:id="7" w:name="_Toc216257875"/>
      <w:r>
        <w:rPr>
          <w:caps w:val="0"/>
        </w:rPr>
        <w:t>Статья 42.4 Требования к архитектурно-градостроительному облику объектов образования и просвещения</w:t>
      </w:r>
      <w:bookmarkEnd w:id="7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проектировании объектов образования и просвещения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возможность размещения технологически необходимой инфраструктуры для эксплуатации данных объектов (проезды, разворотные площадки, парковочные места и т.д.) в границах земельного участка и прилегающих к нему территориях;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учет сложившихся линий градостроительного регулирования и линий застройки, велопешеходных и автомобильных маршрутов, расположения остановок общественного транспорта;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учет особенностей функционального зонирование территории, технологических связей, необходимость разведения потоков пешеходных коммуникаций и машин транспорта;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г) обеспечение нормируемого количества машино-мест, в т.ч. для маломобильных групп населения, посетителей, работников и автотранспорта, нормируемого количества мест посадки-высадки пассажиров;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д) обеспечение разведения пешеходных коммуникаций исходя из разновозрастных особенностей посетителей, применив элементы пассивной навигации (цветное мощение, малые архитектурные формы, элементы озеленения, уличного декора и т.д.);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е) обеспечение нормируемого (обязательного) комплекса элементов благоустройства: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проезды хозяйственные, для посадки и высадки пассажиров, для автомобилей скорой помощи, пожарных, аварийных служб;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пешеходные коммуникации с шириной не менее 2 м;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площадки для посетителей, раздельные площадки для отдыха работников и посетителей;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хозяйственная зона с площадкой ТКО (исключить размещение в зоне главного входа на территорию, визуального восприятия со стороны автомобильной дороги, улицы);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велосипедная парковка;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элементы озеленения (газон, деревья, кустарники, устройства для оформления озеленения);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уличная мебель;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освещение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ограждение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средства размещения навигации и информации;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стационарные парковочные барьеры;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урны.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ж) дополнительно для школ, лицеев, гимназий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зону для установки трех флагштоков (Государственного флага Российской Федерации, Московской области, Муниципального образования Московской области);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центральный школьный двор (площадка общего сбора);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физкультурно-спортивную зону (ФСЗ);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зону отдыха.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з) дополнительно для детских садов, ясель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групповые площадки;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физкультурные площадки;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теневые навесы или прогулочные веранды;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- навесы для детских колясок, санок.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уделять особое внимание противопожарным свойствам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предусматривать систему разрезки облицовочных панелей с учетом архитектурных решений и габаритов дверных и оконных проемов;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принимать во внимание, что материалы должны иметь сертификаты, паспорта соответствия и санитарно-эпидемиологические паспорта.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натуральный камень, металлокассеты (в том числе профилированные), аквапанель, HPL-панель, линеарная панель и другие износостойкие материалы (в т.ч.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применение керамогранита с креплением на видимых клямерах в отделке фасадов первых и вторых этажей;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силикатный кирпич,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группы, витражные конструкции: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1076CF">
      <w:pPr>
        <w:pStyle w:val="11"/>
        <w:keepNext/>
        <w:spacing w:before="120"/>
      </w:pPr>
      <w:bookmarkStart w:id="8" w:name="_Toc216257876"/>
      <w:r>
        <w:rPr>
          <w:caps w:val="0"/>
        </w:rPr>
        <w:t>Статья 42.5 Требования к архитектурно-градостроительному облику объектов культурного развития</w:t>
      </w:r>
      <w:bookmarkEnd w:id="8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случае невозможности устройства решения должны иметь обоснование.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1076CF">
      <w:pPr>
        <w:pStyle w:val="11"/>
        <w:keepNext/>
        <w:spacing w:before="120"/>
      </w:pPr>
      <w:bookmarkStart w:id="9" w:name="_Toc216257877"/>
      <w:r>
        <w:rPr>
          <w:caps w:val="0"/>
        </w:rPr>
        <w:t>Статья 42.6 Требования к архитектурно-градостроительному облику объектов религиозного назначения</w:t>
      </w:r>
      <w:bookmarkEnd w:id="9"/>
      <w:r>
        <w:rPr>
          <w:caps w:val="0"/>
        </w:rPr>
        <w:t xml:space="preserve"> 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обоснованной планировочной необходимости создания бастиона (стилобата) со ступенями, обеспечить не менее одного входа для маломобильных групп,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фасада, учета тектоники здания).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1) применение керамогранита с креплением на видимых клямерах в отделке фасадов первых и вторых этажей;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1076CF">
      <w:pPr>
        <w:pStyle w:val="11"/>
        <w:keepNext/>
        <w:spacing w:before="120"/>
      </w:pPr>
      <w:bookmarkStart w:id="10" w:name="_Toc216257878"/>
      <w:r>
        <w:rPr>
          <w:caps w:val="0"/>
        </w:rPr>
        <w:t>Статья 42.7 Требования к архитектурно-градостроительному облику объектов физической культуры и спорта</w:t>
      </w:r>
      <w:bookmarkEnd w:id="10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случае невозможности устройства решения должны иметь обоснование.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1076CF">
      <w:pPr>
        <w:pStyle w:val="11"/>
        <w:keepNext/>
        <w:spacing w:before="120"/>
      </w:pPr>
      <w:bookmarkStart w:id="11" w:name="_Toc216257879"/>
      <w:r>
        <w:rPr>
          <w:caps w:val="0"/>
        </w:rPr>
        <w:t>Статья 42.8 Требования к архитектурно-градостроительному облику объектов торгового, развлекательного, досугового назначения</w:t>
      </w:r>
      <w:bookmarkEnd w:id="11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случае невозможности устройства решения должны иметь обоснование.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1076CF">
      <w:pPr>
        <w:pStyle w:val="11"/>
        <w:keepNext/>
        <w:spacing w:before="120"/>
      </w:pPr>
      <w:bookmarkStart w:id="12" w:name="_Toc216257880"/>
      <w:r>
        <w:rPr>
          <w:caps w:val="0"/>
        </w:rPr>
        <w:t>Статья 42.9 Требования к архитектурно-градостроительному облику объектов гостиничного обслуживания</w:t>
      </w:r>
      <w:bookmarkEnd w:id="12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случае невозможности устройства решения должны иметь обоснование.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1076CF">
      <w:pPr>
        <w:pStyle w:val="11"/>
        <w:keepNext/>
        <w:spacing w:before="120"/>
      </w:pPr>
      <w:bookmarkStart w:id="13" w:name="_Toc216257881"/>
      <w:r>
        <w:rPr>
          <w:caps w:val="0"/>
        </w:rPr>
        <w:t>Статья 42.10 Требования к архитектурно-градостроительному облику объектов административно-делового назначения</w:t>
      </w:r>
      <w:bookmarkEnd w:id="13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формировании облика объекта предусмотреть наибольший процент остекления в зальных помещениях (актовый зал, фойе, зона главного входа и т.д.), в случае невозможности устройства решения должны иметь обоснование.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 xml:space="preserve"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 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1076CF">
      <w:pPr>
        <w:pStyle w:val="11"/>
        <w:keepNext/>
        <w:spacing w:before="120"/>
      </w:pPr>
      <w:bookmarkStart w:id="14" w:name="_Toc216257882"/>
      <w:r>
        <w:rPr>
          <w:caps w:val="0"/>
        </w:rPr>
        <w:t>Статья 42.11 Требования к архитектурно-градостроительному облику объектов производственного или складского назначения (в том числе сельскохозяйственного)</w:t>
      </w:r>
      <w:bookmarkEnd w:id="14"/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Основные принципы формирования архитектурно-градостроительного облика объектов.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руководствоваться принципами сомасштабности, ансамблевости и гармонии, обеспечивая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Архитектурный облик объекта должен быть подчинен единому стилистическому решению. Дизайн отдельных элементов должен подчиняться единому стилю всего объекта.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выборе базового цвета отдавать преимущество натуральным оттенкам и цветам. При выборе дополнительных и акцентных цветов необходимо обеспечить их гармоничное сочетание с базовым цветом.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1. Требования к объемно-пространственным характеристикам объектов капитального строительства (архитектурные решения объектов капитального строительства, определяющие их размер, форму, функциональное назначение и местоположение в границах земельного участка).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Требования к объемно-пространственным и архитектурным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требования к объемно-пространственным и архитектурным решениям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основной вход (входы) в здание должен быть организован с уровня земли/в одном уровне с прилегающим твердым покрытием с учетом создания «безбарьерной среды», в случае проведения реконструкции объекта капитального строительства допускается сохранение существующего уровня входа в здание, при условии обеспечения доступности для маломобильных групп, при наличии возможности - с уровня земли/в одном уровне с прилегающим твердым покрытием. (За исключением объектов с ВРИ 6.9 – склад, к которым не предъявляются требования по доступу МГН);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главный вход в здание необходимо выявить (акцентировать), второстепенные входы (служебные, технические, эвакуационные) - нивелировать;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предусмотреть защиту от атмосферных осадков входных групп путем устройства козырьков (навесов, заглубления входных групп и т.д.) над каждым входом (устройство защиты от атмосферных осадков может не предусматриваться над эвакуационными выходами); в случае обоснованной необходимости возможно не предусматривать устройство козырьков (навесов) с защитой от атмосферных осадков, в зоне погрузки-разгрузки товаров.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При устройстве козырьков (навесов) использовать безопорные конструкции, в случае обоснованной необходимости наличия опорных элементов в зоне главного входа (под козырьком (навесом)), предусмотреть их по массе соотносимыми нависающими над ними объемами с четным количеством опорных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2. Требования к архитектурно-стилистическим характеристикам объектов капитального строительства (характеристики элементов фасадов, а также элементов иных наружных частей объектов капитального строительства и их характеристик).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 предусматривать: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интеграцию в сложившуюся градостроительную ситуацию (необходимо учитывать характер, структуру и стилистические особенности окружающей застройки и ландшафта);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выявление функционального назначения проектируемого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Требования к размещению, типоразмерам и стилистическим характеристикам светопрозрачных конструкций: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размещение светопрозрачных конструкций (оконные проемы, витражи) на фасаде должно быть обусловлено планировочными и композиционными решениями (недопустимо подчинение размещения оконных проемов только планировочным решениям без обоснования общей композиции фасада).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В оформлении фасадов могут быть использованы произведения монументального и декоративно-прикладного искусства.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Требования к архитектурно-стилистическим характеристикам входных групп: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главный вход должен визуально отличаться от второстепенных входов, при этом должен подчиняться единому стилю объекта; устройство козырьков (навесов) над всеми входными группами должно быть выполнено с учетом стилистической взаимоувязки с фасадными решениями.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3. Требования к цветовым решениям объектов капитального строительства (цвета и оттенки, используемые для отделки фасадов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цветовым решениям: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цветовое решение должно быть обосновано и выполнено во взаимной увязке с композиционными решениями здания, тектоникой объема, оконными проемами;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при разработке цветовых решений необходимо: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избегать соотношения цветов на фасаде в пропорции 1:1; должен быть основной, базовый цвет и дополнительные, акцентные цвета;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б) руководствоваться принципом гармоничного сочетания с окружающей застройкой территории;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в) исключить случайное использование цвета; учитывать, что цветовые акценты выявляют объемно-пластические свойства объектов;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В качестве базового цвета не рекомендуется применять оттенки открытой и агрессивной цветовой гаммы, которые будут доминировать и разрушать общую композицию объема.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выборе цветовых решений оконных, витражных, дверных переплетов использовать белый цвет (RAL 9010, 9016, 9003, 9001 или аналоги из иных цветовых палитр) только в случае его обоснования архитектурно-художественным решением.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При выборе цветовых решений, необходимо учитывать, что при использовании технологии оштукатуривания возможно использование только светлых, разбеленных, натуральных оттенков и цветов, в целях предупреждения выгорания в процессе эксплуатации. В случае применения штукатурки иных оттенков необходимо обоснование (например, в случае размещения объекта в исторической застройке со сложившейся колористикой) и обеспечение сохранности цвета в течение всего срока службы примененной штукатурки.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Рекомендуется исключить визуальное восприятие крепежных изделий; в случае их наличия, выполнить крепежные изделия с учетом цвета основных элементов.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При использовании двух и более цветов штукатурки обеспечивать их стыковку в разных (смещенных друг относительно друга) плоскостях с перепадом, или рустовочным профилем или установкой разделителя. Данное требование не распространяется на росписи, выполняемые на фасаде.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При объемно-планировочном решении здания, предусматривающем устройство разновысотных частей здания с разностью высот более одного этажа, для нижележащей кровли необходимо выполнять проработку ее цветового решения, предусмотрев применение цветных покрытий (засыпки с фиксацией, мембраны, мощение) с учётом визуального восприятия кровли из окон многоэтажных зданий.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4. Требования к отделочным и (или) строительным материалам объектов капитального строительства (материалы для отделки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Общие рекомендации к отделочным и (или) строительным материалам: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выполнять первые этажи и цоколь из устойчивых к атмосферным явлениям, вандалостойких и визуально привлекательных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предусматривать систему разрезки облицовочных панелей с учетом архитектурных решений и габаритов дверных и оконных проемов.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Материалы для применения в отделке (финишные материалы):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кровля, элементы кровли: фальцевая кровля, мягкая черепица, наливная кровля, мембрана, засыпка с фиксацией, сланцевая кровля, песчано-цементная черепица, керамическая черепица, светопрозрачные конструкции и другие износостойкие материалы (включая материалы, используемые для эксплуатируемой кровли);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цоколь: природный камень (гранит или аналог), клинкерный кирпич, полнотелый кирпич, керамогранит на клеевой основе, панели из бетонных композитов, шлифованный бетон и другие износостойкие материалы;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стены: облицовочный кирпич (клинкерный, керамический), железобетонные стеновые панели, облицовочные навесные конструкции, керамогранит, композит, архитектурный бетон, природный камень (гранит или аналог), металлокассеты (в том числе профилированные), аквапанель, HPL-панель, линеарная панель и другие износостойкие материалы (в т.ч. предусмотреть подшивку нависающих частей);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группы: светопрозрачные, вандалостойкие конструкции с применением алюминиевого и/или стального профиля со стеклопакетом (остекление не менее 60% дверного полотна, в том числе в составе витражных конструкций); материалы примыкания (откосы, оливы) к светопрозрачным конструкциям должны быть выполнены из долговечных и вандалостойких материалов;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5) декоративные элементы: стеклофибробетон, природный камень (гранит или аналог), металл и другие износостойкие материалы.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При отделке фасадов не допускается: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применение керамогранита с креплением на видимых клямерах в отделке фасадов первых и вторых этажей;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опирание фасада оштукатуренного, фиброцементного, крупноформатного керамогранита на подсистеме, алюмокомпозитного без устройства цоколя на отметке земли.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4. Запрещенные для применения в отделке (финишные материалы) материалы: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1) бетонные блоки без финишной отделки;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2) фасад: сотовый или профилированный поликарбонат, профлист, металлический и пластиковый сайдинг, цветная и тонирующая самоклеящаяся пленка, сэндвич-панель с открытым типом крепления (визуально заметные соединения панелей, видимые крепежные элементы (винты, дюбели, заклепки);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3) цоколь: фиброцементные панели, металлокассеты, сэндвич-панели, профлист, вентфасад с облицовкой керамогранитом или плиткой, пустотелый кирпич;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4) Входные группы и витражные конструкции (на первом этаже): поливинилхлорид (ПВХ).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5. Не рекомендуется в облицовке фасада использование технологии оштукатуривания. В случае использования рекомендуется применение только штукатурки, тонированной в массе.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6. В случае использования технологии оштукатуривания общая площадь оштукатуренных поверхностей не может быть более 50% от общей площади поверхностей здания. Допускается более 50% при наличии обоснования (например, в случае размещения объекта в исторической застройке с аналогичными материалами отделки фасадов) при обеспечении долговечности.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7. Не рекомендуется сопряжение в одной плоскости поверхностей с различными отделочными материалами без раскреповки (за исключением мозаичных панно).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5. Требования к размещению технического и инженерного оборудования на фасадах и кровлях объектов капитального строительства (перечисление технических устройств (в том числе вентиляции и кондиционирования воздуха, газоснабжения, освещения, связи, видеонаблюдения) и приемов улучшения декоративных качеств фасадов объектов капитального строительства при размещении такого оборудования.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размещении всех видов инженерных систем на визуально воспринимаемых поверхностях фасадов (в том числе на кровле) объектов нежилого назначения необходимо предлагать мероприятия по их визуальному сокрытию и гармоничной интеграции в общий объем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2. Исключить размещение инженерного оборудования на декоративных элементах здания.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3. Предусмотреть обустройство специальных архитектурных элементов (мест размещения) для наружных блоков кондиционеров (ниши, наружные корзины с декоративными экранами) без выведения элементов электрооборудования на наружные плоскости стен (отсутствие сопровождающей проводки на плоскости фасадов).</w:t>
      </w:r>
    </w:p>
    <w:p w:rsidR="00DF66F6" w:rsidRDefault="001076CF">
      <w:pPr>
        <w:spacing w:line="276" w:lineRule="auto"/>
        <w:ind w:firstLine="566"/>
        <w:jc w:val="both"/>
      </w:pPr>
      <w:r>
        <w:rPr>
          <w:b/>
          <w:bCs/>
          <w:sz w:val="24"/>
          <w:szCs w:val="24"/>
          <w:u w:val="single" w:color="000000"/>
        </w:rPr>
        <w:t>6. Требования к подсветке фасадов объектов капитального строительства (перечисление архитектурных приемов внешнего освещения их фасадов и цветов, а также оттенков такого освещения с указанием палитры).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1. При формировании внешнего облика зданий, необходимо предусмотреть:</w:t>
      </w:r>
    </w:p>
    <w:p w:rsidR="00DF66F6" w:rsidRDefault="001076CF">
      <w:pPr>
        <w:spacing w:line="276" w:lineRule="auto"/>
        <w:ind w:firstLine="566"/>
        <w:jc w:val="both"/>
      </w:pPr>
      <w:r>
        <w:rPr>
          <w:sz w:val="24"/>
          <w:szCs w:val="24"/>
        </w:rPr>
        <w:t>а) освещение входной группы (фасадные светильники, встроенная подсветка и иные).</w:t>
      </w:r>
    </w:p>
    <w:p w:rsidR="00DF66F6" w:rsidRDefault="00DF66F6">
      <w:pPr>
        <w:sectPr w:rsidR="00DF66F6">
          <w:pgSz w:w="11906" w:h="16838"/>
          <w:pgMar w:top="566" w:right="850" w:bottom="566" w:left="1700" w:header="170" w:footer="283" w:gutter="0"/>
          <w:cols w:space="720"/>
          <w:docGrid w:linePitch="360"/>
        </w:sectPr>
      </w:pPr>
    </w:p>
    <w:p w:rsidR="00DF66F6" w:rsidRDefault="001076CF">
      <w:pPr>
        <w:pStyle w:val="11"/>
        <w:keepNext/>
        <w:spacing w:after="240" w:line="552" w:lineRule="auto"/>
      </w:pPr>
      <w:bookmarkStart w:id="15" w:name="_Toc216257883"/>
      <w:r>
        <w:t>ПРИЛОЖЕНИЕ</w:t>
      </w:r>
      <w:r>
        <w:br/>
        <w:t>СВЕДЕНИЯ О ГРАНИЦАХ ТЕРРИТОРИАЛЬНЫХ ЗОН</w:t>
      </w:r>
      <w:bookmarkEnd w:id="15"/>
    </w:p>
    <w:sectPr w:rsidR="00DF66F6" w:rsidSect="00DF66F6">
      <w:pgSz w:w="11906" w:h="16838"/>
      <w:pgMar w:top="7937" w:right="566" w:bottom="566" w:left="17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F6" w:rsidRDefault="00DF66F6" w:rsidP="00DF66F6">
      <w:r>
        <w:separator/>
      </w:r>
    </w:p>
  </w:endnote>
  <w:endnote w:type="continuationSeparator" w:id="0">
    <w:p w:rsidR="00DF66F6" w:rsidRDefault="00DF66F6" w:rsidP="00DF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F6" w:rsidRDefault="00DF66F6">
    <w:pPr>
      <w:jc w:val="center"/>
    </w:pPr>
    <w:r>
      <w:fldChar w:fldCharType="begin"/>
    </w:r>
    <w:r w:rsidR="001076CF">
      <w:instrText>PAGE</w:instrText>
    </w:r>
    <w:r>
      <w:fldChar w:fldCharType="separate"/>
    </w:r>
    <w:r w:rsidR="009126E5">
      <w:rPr>
        <w:noProof/>
      </w:rPr>
      <w:t>83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F6" w:rsidRDefault="00DF66F6" w:rsidP="00DF66F6">
      <w:r>
        <w:separator/>
      </w:r>
    </w:p>
  </w:footnote>
  <w:footnote w:type="continuationSeparator" w:id="0">
    <w:p w:rsidR="00DF66F6" w:rsidRDefault="00DF66F6" w:rsidP="00DF6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4125E"/>
    <w:multiLevelType w:val="hybridMultilevel"/>
    <w:tmpl w:val="A956B29A"/>
    <w:lvl w:ilvl="0" w:tplc="465813A8">
      <w:start w:val="1"/>
      <w:numFmt w:val="bullet"/>
      <w:lvlText w:val="●"/>
      <w:lvlJc w:val="left"/>
      <w:pPr>
        <w:ind w:left="720" w:hanging="360"/>
      </w:pPr>
    </w:lvl>
    <w:lvl w:ilvl="1" w:tplc="6A9099B2">
      <w:start w:val="1"/>
      <w:numFmt w:val="bullet"/>
      <w:lvlText w:val="○"/>
      <w:lvlJc w:val="left"/>
      <w:pPr>
        <w:ind w:left="1440" w:hanging="360"/>
      </w:pPr>
    </w:lvl>
    <w:lvl w:ilvl="2" w:tplc="BC407B48">
      <w:start w:val="1"/>
      <w:numFmt w:val="bullet"/>
      <w:lvlText w:val="■"/>
      <w:lvlJc w:val="left"/>
      <w:pPr>
        <w:ind w:left="2160" w:hanging="360"/>
      </w:pPr>
    </w:lvl>
    <w:lvl w:ilvl="3" w:tplc="E5B62318">
      <w:start w:val="1"/>
      <w:numFmt w:val="bullet"/>
      <w:lvlText w:val="●"/>
      <w:lvlJc w:val="left"/>
      <w:pPr>
        <w:ind w:left="2880" w:hanging="360"/>
      </w:pPr>
    </w:lvl>
    <w:lvl w:ilvl="4" w:tplc="CAC469FA">
      <w:start w:val="1"/>
      <w:numFmt w:val="bullet"/>
      <w:lvlText w:val="○"/>
      <w:lvlJc w:val="left"/>
      <w:pPr>
        <w:ind w:left="3600" w:hanging="360"/>
      </w:pPr>
    </w:lvl>
    <w:lvl w:ilvl="5" w:tplc="1504890C">
      <w:start w:val="1"/>
      <w:numFmt w:val="bullet"/>
      <w:lvlText w:val="■"/>
      <w:lvlJc w:val="left"/>
      <w:pPr>
        <w:ind w:left="4320" w:hanging="360"/>
      </w:pPr>
    </w:lvl>
    <w:lvl w:ilvl="6" w:tplc="FE3CEDC2">
      <w:start w:val="1"/>
      <w:numFmt w:val="bullet"/>
      <w:lvlText w:val="●"/>
      <w:lvlJc w:val="left"/>
      <w:pPr>
        <w:ind w:left="5040" w:hanging="360"/>
      </w:pPr>
    </w:lvl>
    <w:lvl w:ilvl="7" w:tplc="C58E9344">
      <w:start w:val="1"/>
      <w:numFmt w:val="bullet"/>
      <w:lvlText w:val="●"/>
      <w:lvlJc w:val="left"/>
      <w:pPr>
        <w:ind w:left="5760" w:hanging="360"/>
      </w:pPr>
    </w:lvl>
    <w:lvl w:ilvl="8" w:tplc="1FCAC84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A953238"/>
    <w:multiLevelType w:val="hybridMultilevel"/>
    <w:tmpl w:val="A92C741A"/>
    <w:lvl w:ilvl="0" w:tplc="AE660C50">
      <w:start w:val="1"/>
      <w:numFmt w:val="decimal"/>
      <w:lvlText w:val="-"/>
      <w:lvlJc w:val="left"/>
      <w:pPr>
        <w:ind w:left="566" w:hanging="566"/>
      </w:pPr>
    </w:lvl>
    <w:lvl w:ilvl="1" w:tplc="D2A47E66">
      <w:numFmt w:val="decimal"/>
      <w:lvlText w:val=""/>
      <w:lvlJc w:val="left"/>
    </w:lvl>
    <w:lvl w:ilvl="2" w:tplc="8B640C7A">
      <w:numFmt w:val="decimal"/>
      <w:lvlText w:val=""/>
      <w:lvlJc w:val="left"/>
    </w:lvl>
    <w:lvl w:ilvl="3" w:tplc="1354E05C">
      <w:numFmt w:val="decimal"/>
      <w:lvlText w:val=""/>
      <w:lvlJc w:val="left"/>
    </w:lvl>
    <w:lvl w:ilvl="4" w:tplc="B27CAC7C">
      <w:numFmt w:val="decimal"/>
      <w:lvlText w:val=""/>
      <w:lvlJc w:val="left"/>
    </w:lvl>
    <w:lvl w:ilvl="5" w:tplc="B272669C">
      <w:numFmt w:val="decimal"/>
      <w:lvlText w:val=""/>
      <w:lvlJc w:val="left"/>
    </w:lvl>
    <w:lvl w:ilvl="6" w:tplc="0E2E7C42">
      <w:numFmt w:val="decimal"/>
      <w:lvlText w:val=""/>
      <w:lvlJc w:val="left"/>
    </w:lvl>
    <w:lvl w:ilvl="7" w:tplc="58DA0242">
      <w:numFmt w:val="decimal"/>
      <w:lvlText w:val=""/>
      <w:lvlJc w:val="left"/>
    </w:lvl>
    <w:lvl w:ilvl="8" w:tplc="D9A8C59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6"/>
    <w:rsid w:val="001076CF"/>
    <w:rsid w:val="008C6CAF"/>
    <w:rsid w:val="009126E5"/>
    <w:rsid w:val="00D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8436-BF34-47BB-B8AA-4E03C86B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DF66F6"/>
    <w:rPr>
      <w:sz w:val="56"/>
      <w:szCs w:val="56"/>
    </w:rPr>
  </w:style>
  <w:style w:type="paragraph" w:customStyle="1" w:styleId="11">
    <w:name w:val="Заголовок 11"/>
    <w:qFormat/>
    <w:rsid w:val="00DF66F6"/>
    <w:pPr>
      <w:spacing w:after="120" w:line="276" w:lineRule="auto"/>
      <w:jc w:val="center"/>
      <w:outlineLvl w:val="0"/>
    </w:pPr>
    <w:rPr>
      <w:b/>
      <w:bCs/>
      <w:caps/>
      <w:color w:val="000000"/>
      <w:sz w:val="24"/>
      <w:szCs w:val="24"/>
    </w:rPr>
  </w:style>
  <w:style w:type="paragraph" w:customStyle="1" w:styleId="21">
    <w:name w:val="Заголовок 21"/>
    <w:qFormat/>
    <w:rsid w:val="00DF66F6"/>
    <w:rPr>
      <w:color w:val="2E74B5"/>
      <w:sz w:val="26"/>
      <w:szCs w:val="26"/>
    </w:rPr>
  </w:style>
  <w:style w:type="paragraph" w:customStyle="1" w:styleId="31">
    <w:name w:val="Заголовок 31"/>
    <w:qFormat/>
    <w:rsid w:val="00DF66F6"/>
    <w:rPr>
      <w:color w:val="1F4D78"/>
      <w:sz w:val="24"/>
      <w:szCs w:val="24"/>
    </w:rPr>
  </w:style>
  <w:style w:type="paragraph" w:customStyle="1" w:styleId="41">
    <w:name w:val="Заголовок 41"/>
    <w:qFormat/>
    <w:rsid w:val="00DF66F6"/>
    <w:rPr>
      <w:i/>
      <w:iCs/>
      <w:color w:val="2E74B5"/>
    </w:rPr>
  </w:style>
  <w:style w:type="paragraph" w:customStyle="1" w:styleId="51">
    <w:name w:val="Заголовок 51"/>
    <w:qFormat/>
    <w:rsid w:val="00DF66F6"/>
    <w:rPr>
      <w:color w:val="2E74B5"/>
    </w:rPr>
  </w:style>
  <w:style w:type="paragraph" w:customStyle="1" w:styleId="61">
    <w:name w:val="Заголовок 61"/>
    <w:qFormat/>
    <w:rsid w:val="00DF66F6"/>
    <w:rPr>
      <w:color w:val="1F4D78"/>
    </w:rPr>
  </w:style>
  <w:style w:type="paragraph" w:customStyle="1" w:styleId="1">
    <w:name w:val="Строгий1"/>
    <w:qFormat/>
    <w:rsid w:val="00DF66F6"/>
    <w:rPr>
      <w:b/>
      <w:bCs/>
    </w:rPr>
  </w:style>
  <w:style w:type="paragraph" w:styleId="a4">
    <w:name w:val="List Paragraph"/>
    <w:qFormat/>
    <w:rsid w:val="00DF66F6"/>
  </w:style>
  <w:style w:type="character" w:styleId="a5">
    <w:name w:val="Hyperlink"/>
    <w:uiPriority w:val="99"/>
    <w:unhideWhenUsed/>
    <w:rsid w:val="00DF66F6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DF66F6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DF66F6"/>
  </w:style>
  <w:style w:type="character" w:customStyle="1" w:styleId="a8">
    <w:name w:val="Текст сноски Знак"/>
    <w:link w:val="a7"/>
    <w:uiPriority w:val="99"/>
    <w:semiHidden/>
    <w:unhideWhenUsed/>
    <w:rsid w:val="00DF66F6"/>
    <w:rPr>
      <w:sz w:val="20"/>
      <w:szCs w:val="20"/>
    </w:rPr>
  </w:style>
  <w:style w:type="paragraph" w:styleId="10">
    <w:name w:val="toc 1"/>
    <w:basedOn w:val="11"/>
    <w:next w:val="11"/>
    <w:uiPriority w:val="39"/>
    <w:qFormat/>
    <w:rsid w:val="00DF66F6"/>
    <w:pPr>
      <w:tabs>
        <w:tab w:val="right" w:pos="9354"/>
      </w:tabs>
      <w:spacing w:before="120" w:after="0" w:line="240" w:lineRule="auto"/>
      <w:ind w:right="963"/>
      <w:jc w:val="both"/>
    </w:pPr>
    <w:rPr>
      <w:b w:val="0"/>
      <w:bCs w:val="0"/>
      <w:caps w:val="0"/>
    </w:rPr>
  </w:style>
  <w:style w:type="paragraph" w:styleId="a9">
    <w:name w:val="Balloon Text"/>
    <w:basedOn w:val="a"/>
    <w:link w:val="aa"/>
    <w:uiPriority w:val="99"/>
    <w:semiHidden/>
    <w:unhideWhenUsed/>
    <w:rsid w:val="008C6C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6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27871</Words>
  <Characters>158868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Снегирева Е.В.</cp:lastModifiedBy>
  <cp:revision>2</cp:revision>
  <cp:lastPrinted>2025-12-10T08:18:00Z</cp:lastPrinted>
  <dcterms:created xsi:type="dcterms:W3CDTF">2026-02-10T09:05:00Z</dcterms:created>
  <dcterms:modified xsi:type="dcterms:W3CDTF">2026-02-10T09:05:00Z</dcterms:modified>
</cp:coreProperties>
</file>