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D5105B" w:rsidTr="00D56BDF">
        <w:trPr>
          <w:trHeight w:val="283"/>
        </w:trPr>
        <w:tc>
          <w:tcPr>
            <w:tcW w:w="2903" w:type="dxa"/>
          </w:tcPr>
          <w:p w:rsidR="00D5105B" w:rsidRDefault="00D5105B" w:rsidP="00D56BDF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D5105B" w:rsidRDefault="00D5105B" w:rsidP="00D56BDF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5105B" w:rsidRPr="00D67BC7" w:rsidRDefault="00D5105B" w:rsidP="00D5105B">
            <w:pPr>
              <w:keepNext/>
              <w:ind w:left="1340" w:firstLine="19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Приложение 5</w:t>
            </w:r>
            <w:bookmarkStart w:id="0" w:name="_GoBack"/>
            <w:bookmarkEnd w:id="0"/>
          </w:p>
          <w:p w:rsidR="00D5105B" w:rsidRPr="00D67BC7" w:rsidRDefault="00D5105B" w:rsidP="00D5105B">
            <w:pPr>
              <w:keepNext/>
              <w:ind w:left="1340" w:firstLine="19"/>
              <w:outlineLvl w:val="0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bookmarkStart w:id="1" w:name="_Toc100159988"/>
            <w:proofErr w:type="gramStart"/>
            <w:r w:rsidRPr="00D67B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 w:rsidRPr="00D67B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Административному</w:t>
            </w:r>
            <w:proofErr w:type="gramEnd"/>
            <w:r w:rsidRPr="00D67BC7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регламенту предо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ставления</w:t>
            </w:r>
            <w:r w:rsidRPr="009B7148"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муниципальной услуги</w:t>
            </w: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br/>
            </w:r>
            <w:bookmarkEnd w:id="1"/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заключение соглашений об организации сбора вторичных ресурсов на территории городского округа Жуковский</w:t>
            </w:r>
          </w:p>
          <w:p w:rsidR="00D5105B" w:rsidRDefault="00D5105B" w:rsidP="00D56BDF">
            <w:pPr>
              <w:ind w:left="350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D5105B" w:rsidRDefault="00D5105B" w:rsidP="00D5105B">
      <w:pPr>
        <w:rPr>
          <w:rFonts w:hint="eastAsia"/>
        </w:rPr>
      </w:pPr>
    </w:p>
    <w:p w:rsidR="00D5105B" w:rsidRDefault="00D5105B" w:rsidP="00D5105B">
      <w:pPr>
        <w:rPr>
          <w:rFonts w:hint="eastAsia"/>
        </w:rPr>
        <w:sectPr w:rsidR="00D5105B" w:rsidSect="00D5105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D5105B" w:rsidRDefault="00D5105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D5105B" w:rsidRDefault="00D5105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61AB1" w:rsidRDefault="0032680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>
        <w:rPr>
          <w:rFonts w:ascii="Times New Roman" w:hAnsi="Times New Roman"/>
          <w:sz w:val="28"/>
          <w:szCs w:val="28"/>
        </w:rPr>
        <w:br/>
        <w:t>общих признаков, по которым объединяются</w:t>
      </w:r>
      <w:r>
        <w:rPr>
          <w:rFonts w:ascii="Times New Roman" w:hAnsi="Times New Roman"/>
          <w:sz w:val="28"/>
          <w:szCs w:val="28"/>
        </w:rPr>
        <w:br/>
        <w:t xml:space="preserve">категории заявителей, а также 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 предоставления муниципальной услуги «Заключение соглашений об организации сбора вторичных ресурсов на территории муниципального образования Московской области»</w:t>
      </w:r>
    </w:p>
    <w:p w:rsidR="00B61AB1" w:rsidRDefault="00B61AB1">
      <w:pPr>
        <w:rPr>
          <w:rFonts w:hint="eastAsia"/>
        </w:rPr>
        <w:sectPr w:rsidR="00B61A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61AB1" w:rsidRDefault="00B61AB1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61AB1" w:rsidRDefault="0032680B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922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874"/>
      </w:tblGrid>
      <w:tr w:rsidR="00B61AB1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1AB1" w:rsidRDefault="00B61AB1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1AB1" w:rsidRDefault="0032680B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1AB1" w:rsidRDefault="0032680B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B61AB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B61AB1" w:rsidRDefault="0032680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B61AB1" w:rsidRDefault="0032680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индивидуальные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предприниматели</w:t>
            </w:r>
          </w:p>
          <w:p w:rsidR="00B61AB1" w:rsidRDefault="0032680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юридические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1AB1" w:rsidRDefault="0032680B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имеющие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намерение разместить емкость для сбора ВР</w:t>
            </w:r>
          </w:p>
        </w:tc>
      </w:tr>
    </w:tbl>
    <w:p w:rsidR="00B61AB1" w:rsidRDefault="00B61AB1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B61AB1" w:rsidRDefault="00B61AB1">
      <w:pPr>
        <w:rPr>
          <w:rFonts w:hint="eastAsia"/>
        </w:rPr>
        <w:sectPr w:rsidR="00B61AB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61AB1" w:rsidRDefault="0032680B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Комбинации признаков </w:t>
      </w:r>
      <w:proofErr w:type="gramStart"/>
      <w:r>
        <w:rPr>
          <w:rFonts w:ascii="Times New Roman" w:hAnsi="Times New Roman"/>
          <w:sz w:val="28"/>
          <w:szCs w:val="28"/>
        </w:rPr>
        <w:t>заявителей,</w:t>
      </w:r>
      <w:r>
        <w:rPr>
          <w:rFonts w:ascii="Times New Roman" w:hAnsi="Times New Roman"/>
          <w:sz w:val="28"/>
          <w:szCs w:val="28"/>
        </w:rPr>
        <w:br/>
        <w:t>каждая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соответствует одному варианту</w:t>
      </w:r>
      <w:r>
        <w:rPr>
          <w:rFonts w:ascii="Times New Roman" w:hAnsi="Times New Roman"/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B61AB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1AB1" w:rsidRDefault="0032680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1AB1" w:rsidRDefault="0032680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предприниматели:  имеющие намерение разместить емкость для сбора ВР,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1AB1" w:rsidRDefault="0032680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 муниципальной услуги, указанный в </w:t>
            </w:r>
            <w:r w:rsidRPr="0032680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2680B">
              <w:rPr>
                <w:rFonts w:ascii="Times New Roman" w:hAnsi="Times New Roman"/>
                <w:sz w:val="28"/>
                <w:szCs w:val="28"/>
              </w:rPr>
              <w:t xml:space="preserve">17.1.1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  <w:tr w:rsidR="00B61AB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1AB1" w:rsidRDefault="0032680B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61AB1" w:rsidRDefault="0032680B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юридические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лица:  имеющие намерение разместить емкость для сбора ВР,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1AB1" w:rsidRDefault="0032680B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вариант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 муниципальной услуги, указанный в </w:t>
            </w:r>
            <w:r w:rsidRPr="0032680B">
              <w:rPr>
                <w:rFonts w:ascii="Times New Roman" w:hAnsi="Times New Roman"/>
                <w:sz w:val="28"/>
                <w:szCs w:val="28"/>
              </w:rPr>
              <w:t>подпункте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2680B">
              <w:rPr>
                <w:rFonts w:ascii="Times New Roman" w:hAnsi="Times New Roman"/>
                <w:sz w:val="28"/>
                <w:szCs w:val="28"/>
              </w:rPr>
              <w:t xml:space="preserve">17.1.2 </w:t>
            </w:r>
            <w:r>
              <w:rPr>
                <w:rFonts w:ascii="Times New Roman" w:hAnsi="Times New Roman"/>
                <w:sz w:val="28"/>
                <w:szCs w:val="28"/>
              </w:rPr>
              <w:t>пункта 17.1 Регламента</w:t>
            </w:r>
          </w:p>
        </w:tc>
      </w:tr>
    </w:tbl>
    <w:p w:rsidR="00B61AB1" w:rsidRDefault="00B61AB1">
      <w:pPr>
        <w:rPr>
          <w:rFonts w:hint="eastAsia"/>
          <w:sz w:val="4"/>
          <w:szCs w:val="4"/>
        </w:rPr>
      </w:pPr>
    </w:p>
    <w:sectPr w:rsidR="00B61AB1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744D1"/>
    <w:multiLevelType w:val="multilevel"/>
    <w:tmpl w:val="8282256C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785004"/>
    <w:multiLevelType w:val="multilevel"/>
    <w:tmpl w:val="C32875E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67AE4A39"/>
    <w:multiLevelType w:val="multilevel"/>
    <w:tmpl w:val="7BA8763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5F80481"/>
    <w:multiLevelType w:val="multilevel"/>
    <w:tmpl w:val="CC0EDCA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AB1"/>
    <w:rsid w:val="0032680B"/>
    <w:rsid w:val="00B61AB1"/>
    <w:rsid w:val="00D5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CAF66-2120-46D6-A015-C282B606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Balloon Text"/>
    <w:basedOn w:val="a"/>
    <w:link w:val="aa"/>
    <w:uiPriority w:val="99"/>
    <w:semiHidden/>
    <w:unhideWhenUsed/>
    <w:rsid w:val="0032680B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680B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Грицуник С.Н.</dc:creator>
  <dc:description/>
  <cp:lastModifiedBy>Грицуник С.Н.</cp:lastModifiedBy>
  <cp:revision>3</cp:revision>
  <cp:lastPrinted>2025-01-23T08:43:00Z</cp:lastPrinted>
  <dcterms:created xsi:type="dcterms:W3CDTF">2025-01-23T08:43:00Z</dcterms:created>
  <dcterms:modified xsi:type="dcterms:W3CDTF">2025-01-27T08:48:00Z</dcterms:modified>
  <dc:language>en-US</dc:language>
</cp:coreProperties>
</file>