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27" w:rsidRPr="00A12284" w:rsidRDefault="006A5227" w:rsidP="006A5227">
      <w:pPr>
        <w:spacing w:after="0"/>
        <w:jc w:val="center"/>
        <w:rPr>
          <w:rFonts w:ascii="Arial" w:hAnsi="Arial" w:cs="Arial"/>
          <w:sz w:val="24"/>
          <w:szCs w:val="24"/>
        </w:rPr>
      </w:pPr>
      <w:r w:rsidRPr="00A12284">
        <w:rPr>
          <w:rFonts w:ascii="Arial" w:hAnsi="Arial" w:cs="Arial"/>
          <w:sz w:val="24"/>
          <w:szCs w:val="24"/>
        </w:rPr>
        <w:t>РОССИЙСКАЯ ФЕДЕРАЦИЯ</w:t>
      </w:r>
    </w:p>
    <w:p w:rsidR="006A5227" w:rsidRPr="00A12284" w:rsidRDefault="006A5227" w:rsidP="006A5227">
      <w:pPr>
        <w:spacing w:after="0"/>
        <w:jc w:val="center"/>
        <w:rPr>
          <w:rFonts w:ascii="Arial" w:hAnsi="Arial" w:cs="Arial"/>
          <w:sz w:val="24"/>
          <w:szCs w:val="24"/>
        </w:rPr>
      </w:pPr>
      <w:r w:rsidRPr="00A12284">
        <w:rPr>
          <w:rFonts w:ascii="Arial" w:hAnsi="Arial" w:cs="Arial"/>
          <w:sz w:val="24"/>
          <w:szCs w:val="24"/>
        </w:rPr>
        <w:t>МОСКОВСКАЯ ОБЛАСТЬ</w:t>
      </w:r>
    </w:p>
    <w:p w:rsidR="006A5227" w:rsidRPr="00A12284" w:rsidRDefault="006A5227" w:rsidP="006A5227">
      <w:pPr>
        <w:spacing w:after="0"/>
        <w:jc w:val="center"/>
        <w:rPr>
          <w:rFonts w:ascii="Arial" w:hAnsi="Arial" w:cs="Arial"/>
          <w:sz w:val="24"/>
          <w:szCs w:val="24"/>
        </w:rPr>
      </w:pPr>
      <w:r w:rsidRPr="00A12284">
        <w:rPr>
          <w:rFonts w:ascii="Arial" w:hAnsi="Arial" w:cs="Arial"/>
          <w:sz w:val="24"/>
          <w:szCs w:val="24"/>
        </w:rPr>
        <w:t>ГОРОДСКОЙ ОКРУГ ЖУКОВСКИЙ</w:t>
      </w:r>
    </w:p>
    <w:p w:rsidR="006A5227" w:rsidRPr="00A12284" w:rsidRDefault="006A5227" w:rsidP="006A5227">
      <w:pPr>
        <w:spacing w:after="0"/>
        <w:jc w:val="center"/>
        <w:rPr>
          <w:rFonts w:ascii="Arial" w:hAnsi="Arial" w:cs="Arial"/>
          <w:sz w:val="24"/>
          <w:szCs w:val="24"/>
        </w:rPr>
      </w:pPr>
      <w:r w:rsidRPr="00A12284">
        <w:rPr>
          <w:rFonts w:ascii="Arial" w:hAnsi="Arial" w:cs="Arial"/>
          <w:sz w:val="24"/>
          <w:szCs w:val="24"/>
        </w:rPr>
        <w:t>АДМИНИСТРАЦИЯ ГОРОДСКОГО ОКРУГА</w:t>
      </w:r>
    </w:p>
    <w:p w:rsidR="006A5227" w:rsidRPr="00A12284" w:rsidRDefault="006A5227" w:rsidP="006A5227">
      <w:pPr>
        <w:spacing w:after="0"/>
        <w:jc w:val="center"/>
        <w:rPr>
          <w:rFonts w:ascii="Arial" w:hAnsi="Arial" w:cs="Arial"/>
          <w:sz w:val="24"/>
          <w:szCs w:val="24"/>
        </w:rPr>
      </w:pPr>
    </w:p>
    <w:p w:rsidR="006A5227" w:rsidRPr="00A12284" w:rsidRDefault="006A5227" w:rsidP="006A5227">
      <w:pPr>
        <w:spacing w:after="0"/>
        <w:jc w:val="center"/>
        <w:rPr>
          <w:rFonts w:ascii="Arial" w:hAnsi="Arial" w:cs="Arial"/>
          <w:sz w:val="24"/>
          <w:szCs w:val="24"/>
        </w:rPr>
      </w:pPr>
      <w:r w:rsidRPr="00A12284">
        <w:rPr>
          <w:rFonts w:ascii="Arial" w:hAnsi="Arial" w:cs="Arial"/>
          <w:sz w:val="24"/>
          <w:szCs w:val="24"/>
        </w:rPr>
        <w:t>ПОСТАНОВЛЕНИЕ</w:t>
      </w:r>
    </w:p>
    <w:p w:rsidR="006A5227" w:rsidRPr="00A12284" w:rsidRDefault="006A5227" w:rsidP="006A5227">
      <w:pPr>
        <w:spacing w:after="0"/>
        <w:rPr>
          <w:rFonts w:ascii="Arial" w:hAnsi="Arial" w:cs="Arial"/>
          <w:sz w:val="24"/>
          <w:szCs w:val="24"/>
        </w:rPr>
      </w:pPr>
    </w:p>
    <w:p w:rsidR="006A5227" w:rsidRPr="00A12284" w:rsidRDefault="006A5227" w:rsidP="006A5227">
      <w:pPr>
        <w:spacing w:after="0"/>
        <w:rPr>
          <w:rFonts w:ascii="Arial" w:hAnsi="Arial" w:cs="Arial"/>
          <w:b/>
          <w:sz w:val="24"/>
          <w:szCs w:val="24"/>
          <w:u w:val="single"/>
        </w:rPr>
      </w:pPr>
      <w:r w:rsidRPr="00A12284">
        <w:rPr>
          <w:rFonts w:ascii="Arial" w:hAnsi="Arial" w:cs="Arial"/>
          <w:b/>
          <w:sz w:val="24"/>
          <w:szCs w:val="24"/>
        </w:rPr>
        <w:t xml:space="preserve">от </w:t>
      </w:r>
      <w:r w:rsidRPr="00A12284">
        <w:rPr>
          <w:rFonts w:ascii="Arial" w:hAnsi="Arial" w:cs="Arial"/>
          <w:b/>
          <w:sz w:val="24"/>
          <w:szCs w:val="24"/>
          <w:u w:val="single"/>
        </w:rPr>
        <w:t>«</w:t>
      </w:r>
      <w:proofErr w:type="gramStart"/>
      <w:r>
        <w:rPr>
          <w:rFonts w:ascii="Arial" w:hAnsi="Arial" w:cs="Arial"/>
          <w:b/>
          <w:sz w:val="24"/>
          <w:szCs w:val="24"/>
          <w:u w:val="single"/>
        </w:rPr>
        <w:t>2</w:t>
      </w:r>
      <w:r>
        <w:rPr>
          <w:rFonts w:ascii="Arial" w:hAnsi="Arial" w:cs="Arial"/>
          <w:b/>
          <w:sz w:val="24"/>
          <w:szCs w:val="24"/>
          <w:u w:val="single"/>
        </w:rPr>
        <w:t>6</w:t>
      </w:r>
      <w:r w:rsidRPr="00A12284">
        <w:rPr>
          <w:rFonts w:ascii="Arial" w:hAnsi="Arial" w:cs="Arial"/>
          <w:b/>
          <w:sz w:val="24"/>
          <w:szCs w:val="24"/>
          <w:u w:val="single"/>
        </w:rPr>
        <w:t xml:space="preserve">»   </w:t>
      </w:r>
      <w:proofErr w:type="gramEnd"/>
      <w:r>
        <w:rPr>
          <w:rFonts w:ascii="Arial" w:hAnsi="Arial" w:cs="Arial"/>
          <w:b/>
          <w:sz w:val="24"/>
          <w:szCs w:val="24"/>
          <w:u w:val="single"/>
        </w:rPr>
        <w:t>0</w:t>
      </w:r>
      <w:r>
        <w:rPr>
          <w:rFonts w:ascii="Arial" w:hAnsi="Arial" w:cs="Arial"/>
          <w:b/>
          <w:sz w:val="24"/>
          <w:szCs w:val="24"/>
          <w:u w:val="single"/>
        </w:rPr>
        <w:t>3</w:t>
      </w:r>
      <w:r w:rsidRPr="00A12284">
        <w:rPr>
          <w:rFonts w:ascii="Arial" w:hAnsi="Arial" w:cs="Arial"/>
          <w:b/>
          <w:sz w:val="24"/>
          <w:szCs w:val="24"/>
          <w:u w:val="single"/>
        </w:rPr>
        <w:t xml:space="preserve">   201</w:t>
      </w:r>
      <w:r>
        <w:rPr>
          <w:rFonts w:ascii="Arial" w:hAnsi="Arial" w:cs="Arial"/>
          <w:b/>
          <w:sz w:val="24"/>
          <w:szCs w:val="24"/>
          <w:u w:val="single"/>
        </w:rPr>
        <w:t>8</w:t>
      </w:r>
      <w:r w:rsidRPr="00A12284">
        <w:rPr>
          <w:rFonts w:ascii="Arial" w:hAnsi="Arial" w:cs="Arial"/>
          <w:b/>
          <w:sz w:val="24"/>
          <w:szCs w:val="24"/>
        </w:rPr>
        <w:t xml:space="preserve"> г.</w:t>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r>
      <w:r w:rsidRPr="00A12284">
        <w:rPr>
          <w:rFonts w:ascii="Arial" w:hAnsi="Arial" w:cs="Arial"/>
          <w:b/>
          <w:sz w:val="24"/>
          <w:szCs w:val="24"/>
        </w:rPr>
        <w:tab/>
        <w:t xml:space="preserve">№ </w:t>
      </w:r>
      <w:r>
        <w:rPr>
          <w:rFonts w:ascii="Arial" w:hAnsi="Arial" w:cs="Arial"/>
          <w:b/>
          <w:sz w:val="24"/>
          <w:szCs w:val="24"/>
          <w:u w:val="single"/>
        </w:rPr>
        <w:t>308</w:t>
      </w:r>
    </w:p>
    <w:p w:rsidR="006A5227" w:rsidRPr="00A12284" w:rsidRDefault="006A5227" w:rsidP="006A5227">
      <w:pPr>
        <w:spacing w:after="0"/>
        <w:rPr>
          <w:rFonts w:ascii="Arial" w:hAnsi="Arial" w:cs="Arial"/>
          <w:sz w:val="24"/>
          <w:szCs w:val="24"/>
          <w:u w:val="single"/>
        </w:rPr>
      </w:pPr>
    </w:p>
    <w:p w:rsidR="006A5227" w:rsidRPr="00A12284" w:rsidRDefault="006A5227" w:rsidP="006A5227">
      <w:pPr>
        <w:pStyle w:val="ConsPlusTitle"/>
        <w:ind w:right="4253"/>
        <w:rPr>
          <w:rFonts w:ascii="Arial" w:hAnsi="Arial" w:cs="Arial"/>
          <w:b w:val="0"/>
          <w:sz w:val="24"/>
          <w:szCs w:val="24"/>
        </w:rPr>
      </w:pPr>
      <w:r w:rsidRPr="00A12284">
        <w:rPr>
          <w:rFonts w:ascii="Arial" w:hAnsi="Arial" w:cs="Arial"/>
          <w:b w:val="0"/>
          <w:sz w:val="24"/>
          <w:szCs w:val="24"/>
        </w:rPr>
        <w:t>«О внесении изменений в муниципальную программу городского округа Жуковский «Развитие физической культуры и спорта, формирование здорового образа жизни населения городского округа Жуковский (2017-2021 годы)»</w:t>
      </w:r>
    </w:p>
    <w:p w:rsidR="006A5227" w:rsidRPr="00A12284" w:rsidRDefault="006A5227" w:rsidP="006A5227">
      <w:pPr>
        <w:pStyle w:val="ConsPlusNormal"/>
        <w:jc w:val="both"/>
        <w:rPr>
          <w:rFonts w:ascii="Arial" w:hAnsi="Arial" w:cs="Arial"/>
          <w:sz w:val="24"/>
          <w:szCs w:val="24"/>
        </w:rPr>
      </w:pPr>
    </w:p>
    <w:p w:rsidR="006A5227" w:rsidRPr="00A12284"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городского округа Жуковский от 20.08.2013 №1352 «О разработке муниципальных программ» ( в редакции постановлений Администрации городского округа Жуковский от 25.09.2017 №1484, от 07.11.2017 №1783), постановлением Администрации городского округа Жуковский от 14.09.2016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№450, от 13.06.2017 №775, от 01.11.2017 №1764, от 20.11.2017 №1841) и в связи с добавлением целевых показателей Рейтинга-50 в муниципальную программу на 2018-2021 годы</w:t>
      </w:r>
      <w:r w:rsidRPr="00A12284">
        <w:rPr>
          <w:rFonts w:ascii="Arial" w:hAnsi="Arial" w:cs="Arial"/>
          <w:sz w:val="24"/>
          <w:szCs w:val="24"/>
        </w:rPr>
        <w:t>,</w:t>
      </w:r>
    </w:p>
    <w:p w:rsidR="006A5227" w:rsidRPr="00A12284" w:rsidRDefault="006A5227" w:rsidP="006A5227">
      <w:pPr>
        <w:pStyle w:val="ConsPlusNormal"/>
        <w:ind w:firstLine="540"/>
        <w:jc w:val="both"/>
        <w:rPr>
          <w:rFonts w:ascii="Arial" w:hAnsi="Arial" w:cs="Arial"/>
          <w:sz w:val="24"/>
          <w:szCs w:val="24"/>
        </w:rPr>
      </w:pPr>
    </w:p>
    <w:p w:rsidR="006A5227" w:rsidRPr="00A12284" w:rsidRDefault="006A5227" w:rsidP="006A5227">
      <w:pPr>
        <w:pStyle w:val="ConsPlusNormal"/>
        <w:jc w:val="center"/>
        <w:rPr>
          <w:rFonts w:ascii="Arial" w:hAnsi="Arial" w:cs="Arial"/>
          <w:sz w:val="24"/>
          <w:szCs w:val="24"/>
        </w:rPr>
      </w:pPr>
      <w:r w:rsidRPr="00A12284">
        <w:rPr>
          <w:rFonts w:ascii="Arial" w:hAnsi="Arial" w:cs="Arial"/>
          <w:sz w:val="24"/>
          <w:szCs w:val="24"/>
        </w:rPr>
        <w:t>ПОСТАНОВЛЯЮ:</w:t>
      </w:r>
    </w:p>
    <w:p w:rsidR="006A5227" w:rsidRPr="00A12284" w:rsidRDefault="006A5227" w:rsidP="006A5227">
      <w:pPr>
        <w:pStyle w:val="ConsPlusNormal"/>
        <w:jc w:val="center"/>
        <w:rPr>
          <w:rFonts w:ascii="Arial" w:hAnsi="Arial" w:cs="Arial"/>
          <w:sz w:val="24"/>
          <w:szCs w:val="24"/>
        </w:rPr>
      </w:pPr>
    </w:p>
    <w:p w:rsidR="006A5227" w:rsidRPr="006A5227" w:rsidRDefault="006A5227" w:rsidP="006A5227">
      <w:pPr>
        <w:pStyle w:val="ConsPlusNormal"/>
        <w:ind w:firstLine="709"/>
        <w:jc w:val="both"/>
        <w:rPr>
          <w:rFonts w:ascii="Arial" w:hAnsi="Arial" w:cs="Arial"/>
          <w:sz w:val="24"/>
          <w:szCs w:val="24"/>
        </w:rPr>
      </w:pPr>
      <w:r w:rsidRPr="00F340FD">
        <w:rPr>
          <w:rFonts w:ascii="Arial" w:hAnsi="Arial" w:cs="Arial"/>
          <w:sz w:val="24"/>
          <w:szCs w:val="24"/>
        </w:rPr>
        <w:t>1.</w:t>
      </w:r>
      <w:r>
        <w:rPr>
          <w:rFonts w:ascii="Arial" w:hAnsi="Arial" w:cs="Arial"/>
          <w:sz w:val="24"/>
          <w:szCs w:val="24"/>
        </w:rPr>
        <w:tab/>
      </w:r>
      <w:r w:rsidRPr="006A5227">
        <w:rPr>
          <w:rFonts w:ascii="Arial" w:hAnsi="Arial" w:cs="Arial"/>
          <w:sz w:val="24"/>
          <w:szCs w:val="24"/>
        </w:rPr>
        <w:t>1. Внести  в муниципальную программу городского округа Жуковский «Развитие физической культуры и спорта, формирование здорового образа жизни населения городского округа Жуковский (2017-2021 годы)» (далее – Программа), утвержденную постановлением Администрации городского округа Жуковский от 26.09.2016 № 1378 «Об утверждении муниципальной программы городского округа Жуковский «Развитие физической культуры и спорта, формирование здорового образа жизни населения городского округа Жуковский (2017-2021 годы)» (в редакции постановлений Администрации городского округа Жуковский от 30.11.2017 № 1934; от 28.02.2018 № 219), следующие изменения:</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1.1. Подпрограмму II «Создание условий для оказания медицинской помощи» раздела 6 «Методика расчета значений показателей реализации муниципальной программы» текстовой части Программы изложить в следующей редакции:</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«1. Диспансеризация - Доля населения, прошедшего диспансеризацию, единица измерения </w:t>
      </w:r>
      <w:r w:rsidR="00A96B43">
        <w:rPr>
          <w:rFonts w:ascii="Arial" w:hAnsi="Arial" w:cs="Arial"/>
          <w:sz w:val="24"/>
          <w:szCs w:val="24"/>
        </w:rPr>
        <w:t>-</w:t>
      </w:r>
      <w:r w:rsidRPr="006A5227">
        <w:rPr>
          <w:rFonts w:ascii="Arial" w:hAnsi="Arial" w:cs="Arial"/>
          <w:sz w:val="24"/>
          <w:szCs w:val="24"/>
        </w:rPr>
        <w:t xml:space="preserve"> процент</w:t>
      </w:r>
    </w:p>
    <w:p w:rsid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Рассчитывается по формуле:</w:t>
      </w:r>
    </w:p>
    <w:p w:rsidR="006A5227" w:rsidRDefault="006A5227" w:rsidP="006A5227">
      <w:pPr>
        <w:pStyle w:val="ConsPlusNormal"/>
        <w:ind w:firstLine="709"/>
        <w:jc w:val="both"/>
        <w:rPr>
          <w:rFonts w:ascii="Arial" w:hAnsi="Arial" w:cs="Arial"/>
          <w:sz w:val="24"/>
          <w:szCs w:val="24"/>
        </w:rPr>
      </w:pPr>
    </w:p>
    <w:p w:rsidR="006A5227" w:rsidRPr="006A5227" w:rsidRDefault="006A5227" w:rsidP="006A5227">
      <w:pPr>
        <w:pStyle w:val="ConsPlusNormal"/>
        <w:ind w:firstLine="709"/>
        <w:jc w:val="center"/>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и</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п</m:t>
                </m:r>
              </m:sub>
            </m:sSub>
          </m:num>
          <m:den>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пд</m:t>
                </m:r>
              </m:sub>
            </m:sSub>
          </m:den>
        </m:f>
        <m:r>
          <w:rPr>
            <w:rFonts w:ascii="Cambria Math" w:hAnsi="Cambria Math" w:cs="Arial"/>
            <w:sz w:val="24"/>
            <w:szCs w:val="24"/>
          </w:rPr>
          <m:t xml:space="preserve"> х 100%</m:t>
        </m:r>
      </m:oMath>
      <w:r w:rsidRPr="006A5227">
        <w:rPr>
          <w:rFonts w:ascii="Arial" w:hAnsi="Arial" w:cs="Arial"/>
          <w:sz w:val="24"/>
          <w:szCs w:val="24"/>
        </w:rPr>
        <w:t>, где:</w:t>
      </w:r>
    </w:p>
    <w:p w:rsidR="006A5227" w:rsidRDefault="006A5227" w:rsidP="006A5227">
      <w:pPr>
        <w:pStyle w:val="ConsPlusNormal"/>
        <w:ind w:firstLine="709"/>
        <w:jc w:val="both"/>
        <w:rPr>
          <w:rFonts w:ascii="Arial" w:hAnsi="Arial" w:cs="Arial"/>
          <w:sz w:val="24"/>
          <w:szCs w:val="24"/>
        </w:rPr>
      </w:pP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Ди</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исполнение диспансеризации определённых групп взрослого населения</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Дп</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численность населения, прошедшего диспансеризацию в отчетном периоде, чел.</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Дпд</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общее число граждан, подлежащих диспансеризации в 2018 году (согласно распоряжению Министерства здравоохранения Московской области от 26.12.2017 №323-</w:t>
      </w:r>
      <w:r w:rsidRPr="006A5227">
        <w:rPr>
          <w:rFonts w:ascii="Arial" w:hAnsi="Arial" w:cs="Arial"/>
          <w:sz w:val="24"/>
          <w:szCs w:val="24"/>
        </w:rPr>
        <w:lastRenderedPageBreak/>
        <w:t>р), чел.</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Источник информации: форма №131, утверждённая приказом Министерства здравоохранения Российской Федерации от 6 марта 2015</w:t>
      </w:r>
      <w:r w:rsidR="00A96B43">
        <w:rPr>
          <w:rFonts w:ascii="Arial" w:hAnsi="Arial" w:cs="Arial"/>
          <w:sz w:val="24"/>
          <w:szCs w:val="24"/>
        </w:rPr>
        <w:t xml:space="preserve"> года</w:t>
      </w:r>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87н, Распоряжение Министерства здравоохранения Московской области от 23.12.2016 №54-р.</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Разъяснение по показателю: показатель определяется как отношение численности населения, прошедшего диспансеризацию в отчетном периоде, к общему числу граждан, подлежащих диспансеризации в 2018 году (согласно распоряжению Министерства здравоохранения Московской области от 26.12.2017 года </w:t>
      </w:r>
      <w:r w:rsidR="00A96B43">
        <w:rPr>
          <w:rFonts w:ascii="Arial" w:hAnsi="Arial" w:cs="Arial"/>
          <w:sz w:val="24"/>
          <w:szCs w:val="24"/>
        </w:rPr>
        <w:t>№</w:t>
      </w:r>
      <w:r w:rsidRPr="006A5227">
        <w:rPr>
          <w:rFonts w:ascii="Arial" w:hAnsi="Arial" w:cs="Arial"/>
          <w:sz w:val="24"/>
          <w:szCs w:val="24"/>
        </w:rPr>
        <w:t xml:space="preserve"> 323-p) выраженное в процентах. Показатель считается с начала отчётного года нарастающим итогом. Показатель считается выполненным, если его значение составило: за 3 мес. </w:t>
      </w:r>
      <w:r w:rsidR="00A96B43">
        <w:rPr>
          <w:rFonts w:ascii="Arial" w:hAnsi="Arial" w:cs="Arial"/>
          <w:sz w:val="24"/>
          <w:szCs w:val="24"/>
        </w:rPr>
        <w:t>-</w:t>
      </w:r>
      <w:r w:rsidRPr="006A5227">
        <w:rPr>
          <w:rFonts w:ascii="Arial" w:hAnsi="Arial" w:cs="Arial"/>
          <w:sz w:val="24"/>
          <w:szCs w:val="24"/>
        </w:rPr>
        <w:t xml:space="preserve"> 25%; за 6 мес. -50%; за 9 мес. </w:t>
      </w:r>
      <w:r w:rsidR="00A96B43">
        <w:rPr>
          <w:rFonts w:ascii="Arial" w:hAnsi="Arial" w:cs="Arial"/>
          <w:sz w:val="24"/>
          <w:szCs w:val="24"/>
        </w:rPr>
        <w:t>-</w:t>
      </w:r>
      <w:r w:rsidRPr="006A5227">
        <w:rPr>
          <w:rFonts w:ascii="Arial" w:hAnsi="Arial" w:cs="Arial"/>
          <w:sz w:val="24"/>
          <w:szCs w:val="24"/>
        </w:rPr>
        <w:t xml:space="preserve"> 75% и за год </w:t>
      </w:r>
      <w:r w:rsidR="00A96B43">
        <w:rPr>
          <w:rFonts w:ascii="Arial" w:hAnsi="Arial" w:cs="Arial"/>
          <w:sz w:val="24"/>
          <w:szCs w:val="24"/>
        </w:rPr>
        <w:t>-</w:t>
      </w:r>
      <w:r w:rsidRPr="006A5227">
        <w:rPr>
          <w:rFonts w:ascii="Arial" w:hAnsi="Arial" w:cs="Arial"/>
          <w:sz w:val="24"/>
          <w:szCs w:val="24"/>
        </w:rPr>
        <w:t xml:space="preserve"> 100%.</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2. Привлечение участковых врачей: 1 врач-1 участок - Отсутствие (сокращение) дефицита врачей привлечение/стимулирование/жильё, единица измерения </w:t>
      </w:r>
      <w:r w:rsidR="00A96B43">
        <w:rPr>
          <w:rFonts w:ascii="Arial" w:hAnsi="Arial" w:cs="Arial"/>
          <w:sz w:val="24"/>
          <w:szCs w:val="24"/>
        </w:rPr>
        <w:t>-</w:t>
      </w:r>
      <w:r w:rsidRPr="006A5227">
        <w:rPr>
          <w:rFonts w:ascii="Arial" w:hAnsi="Arial" w:cs="Arial"/>
          <w:sz w:val="24"/>
          <w:szCs w:val="24"/>
        </w:rPr>
        <w:t xml:space="preserve"> процент</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Показатель состоит из суммы 2-х частей.</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Максимальное значение показателя 200% и более.</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Первая часть - максимальное значение 100 и более% </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Рассчитывается по формуле:</w:t>
      </w:r>
    </w:p>
    <w:p w:rsidR="00A96B43" w:rsidRDefault="00A96B43" w:rsidP="006A5227">
      <w:pPr>
        <w:pStyle w:val="ConsPlusNormal"/>
        <w:ind w:firstLine="709"/>
        <w:jc w:val="both"/>
        <w:rPr>
          <w:rFonts w:ascii="Arial" w:hAnsi="Arial" w:cs="Arial"/>
          <w:sz w:val="24"/>
          <w:szCs w:val="24"/>
        </w:rPr>
      </w:pPr>
    </w:p>
    <w:p w:rsidR="00A96B43" w:rsidRPr="006A5227" w:rsidRDefault="00A96B43" w:rsidP="00A96B43">
      <w:pPr>
        <w:pStyle w:val="ConsPlusNormal"/>
        <w:ind w:firstLine="709"/>
        <w:jc w:val="center"/>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П</m:t>
            </m:r>
          </m:e>
          <m:sub>
            <m:r>
              <w:rPr>
                <w:rFonts w:ascii="Cambria Math" w:hAnsi="Cambria Math" w:cs="Arial"/>
                <w:sz w:val="24"/>
                <w:szCs w:val="24"/>
              </w:rPr>
              <m:t>ув</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rPr>
                  <m:t>В</m:t>
                </m:r>
              </m:e>
              <m:sub>
                <m:r>
                  <w:rPr>
                    <w:rFonts w:ascii="Cambria Math" w:hAnsi="Cambria Math" w:cs="Arial"/>
                    <w:sz w:val="24"/>
                    <w:szCs w:val="24"/>
                  </w:rPr>
                  <m:t>п</m:t>
                </m:r>
              </m:sub>
            </m:sSub>
          </m:num>
          <m:den>
            <m:sSub>
              <m:sSubPr>
                <m:ctrlPr>
                  <w:rPr>
                    <w:rFonts w:ascii="Cambria Math" w:hAnsi="Cambria Math" w:cs="Arial"/>
                    <w:sz w:val="24"/>
                    <w:szCs w:val="24"/>
                  </w:rPr>
                </m:ctrlPr>
              </m:sSubPr>
              <m:e>
                <m:r>
                  <w:rPr>
                    <w:rFonts w:ascii="Cambria Math" w:hAnsi="Cambria Math" w:cs="Arial"/>
                    <w:sz w:val="24"/>
                    <w:szCs w:val="24"/>
                  </w:rPr>
                  <m:t>В</m:t>
                </m:r>
              </m:e>
              <m:sub>
                <m:r>
                  <w:rPr>
                    <w:rFonts w:ascii="Cambria Math" w:hAnsi="Cambria Math" w:cs="Arial"/>
                    <w:sz w:val="24"/>
                    <w:szCs w:val="24"/>
                  </w:rPr>
                  <m:t>пл</m:t>
                </m:r>
              </m:sub>
            </m:sSub>
          </m:den>
        </m:f>
        <m:r>
          <w:rPr>
            <w:rFonts w:ascii="Cambria Math" w:hAnsi="Cambria Math" w:cs="Arial"/>
            <w:sz w:val="24"/>
            <w:szCs w:val="24"/>
          </w:rPr>
          <m:t xml:space="preserve"> х 100%</m:t>
        </m:r>
      </m:oMath>
      <w:r w:rsidRPr="006A5227">
        <w:rPr>
          <w:rFonts w:ascii="Arial" w:hAnsi="Arial" w:cs="Arial"/>
          <w:sz w:val="24"/>
          <w:szCs w:val="24"/>
        </w:rPr>
        <w:t>, где:</w:t>
      </w:r>
    </w:p>
    <w:p w:rsidR="00A96B43" w:rsidRDefault="00A96B43" w:rsidP="006A5227">
      <w:pPr>
        <w:pStyle w:val="ConsPlusNormal"/>
        <w:ind w:firstLine="709"/>
        <w:jc w:val="both"/>
        <w:rPr>
          <w:rFonts w:ascii="Arial" w:hAnsi="Arial" w:cs="Arial"/>
          <w:sz w:val="24"/>
          <w:szCs w:val="24"/>
        </w:rPr>
      </w:pP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Пув</w:t>
      </w:r>
      <w:proofErr w:type="spellEnd"/>
      <w:r w:rsidR="00A96B43">
        <w:rPr>
          <w:rFonts w:ascii="Arial" w:hAnsi="Arial" w:cs="Arial"/>
          <w:sz w:val="24"/>
          <w:szCs w:val="24"/>
        </w:rPr>
        <w:t>-</w:t>
      </w:r>
      <w:r w:rsidRPr="006A5227">
        <w:rPr>
          <w:rFonts w:ascii="Arial" w:hAnsi="Arial" w:cs="Arial"/>
          <w:sz w:val="24"/>
          <w:szCs w:val="24"/>
        </w:rPr>
        <w:t xml:space="preserve"> привлечение участковых врачей</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Вп</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привлечённые участковые врачи, чел.</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Впл</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запланированное на 2018 год число врачей участковой службы (в соответствии с «дорожной картой»).</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Источник информации:</w:t>
      </w:r>
      <w:r w:rsidR="006B416C">
        <w:rPr>
          <w:rFonts w:ascii="Arial" w:hAnsi="Arial" w:cs="Arial"/>
          <w:sz w:val="24"/>
          <w:szCs w:val="24"/>
        </w:rPr>
        <w:t xml:space="preserve"> </w:t>
      </w:r>
      <w:r w:rsidRPr="006A5227">
        <w:rPr>
          <w:rFonts w:ascii="Arial" w:hAnsi="Arial" w:cs="Arial"/>
          <w:sz w:val="24"/>
          <w:szCs w:val="24"/>
        </w:rPr>
        <w:t>отчёт администраций муниципальных образований и согласование</w:t>
      </w:r>
      <w:r w:rsidR="006B416C">
        <w:rPr>
          <w:rFonts w:ascii="Arial" w:hAnsi="Arial" w:cs="Arial"/>
          <w:sz w:val="24"/>
          <w:szCs w:val="24"/>
        </w:rPr>
        <w:t xml:space="preserve"> </w:t>
      </w:r>
      <w:r w:rsidRPr="006A5227">
        <w:rPr>
          <w:rFonts w:ascii="Arial" w:hAnsi="Arial" w:cs="Arial"/>
          <w:sz w:val="24"/>
          <w:szCs w:val="24"/>
        </w:rPr>
        <w:t>с</w:t>
      </w:r>
      <w:r w:rsidR="006B416C">
        <w:rPr>
          <w:rFonts w:ascii="Arial" w:hAnsi="Arial" w:cs="Arial"/>
          <w:sz w:val="24"/>
          <w:szCs w:val="24"/>
        </w:rPr>
        <w:t xml:space="preserve"> </w:t>
      </w:r>
      <w:r w:rsidRPr="006A5227">
        <w:rPr>
          <w:rFonts w:ascii="Arial" w:hAnsi="Arial" w:cs="Arial"/>
          <w:sz w:val="24"/>
          <w:szCs w:val="24"/>
        </w:rPr>
        <w:t>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Разъяснение по показателю: показатель определяется как отношение количества привлечённых врачей участковых терапевтов, врачей участковых педиатров в государственные учреждения здравоохранения муниципальных образований Московской области к запланированному на 2018 год числу врачей участковой службы (в соответствии с «дорожной картой»).</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 Показатель считается с начала отчётного года</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Вторая часть </w:t>
      </w:r>
      <w:r w:rsidR="00A96B43">
        <w:rPr>
          <w:rFonts w:ascii="Arial" w:hAnsi="Arial" w:cs="Arial"/>
          <w:sz w:val="24"/>
          <w:szCs w:val="24"/>
        </w:rPr>
        <w:t>-</w:t>
      </w:r>
      <w:r w:rsidRPr="006A5227">
        <w:rPr>
          <w:rFonts w:ascii="Arial" w:hAnsi="Arial" w:cs="Arial"/>
          <w:sz w:val="24"/>
          <w:szCs w:val="24"/>
        </w:rPr>
        <w:t xml:space="preserve"> максимальное значение 100%, единица измерения </w:t>
      </w:r>
      <w:r w:rsidR="00A96B43">
        <w:rPr>
          <w:rFonts w:ascii="Arial" w:hAnsi="Arial" w:cs="Arial"/>
          <w:sz w:val="24"/>
          <w:szCs w:val="24"/>
        </w:rPr>
        <w:t>-</w:t>
      </w:r>
      <w:r w:rsidRPr="006A5227">
        <w:rPr>
          <w:rFonts w:ascii="Arial" w:hAnsi="Arial" w:cs="Arial"/>
          <w:sz w:val="24"/>
          <w:szCs w:val="24"/>
        </w:rPr>
        <w:t xml:space="preserve"> процент</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Источник информации: отчёт администраций муниципальных образований и согласование с государственными учреждениями здравоохранения Московской области (информация предоставляется в регламентный срок, не предоставление информации оценивается нулевым значением).</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Разъяснение по показателю: показатель определяется как отношение количества врачей участковых терапевтов, врачей участковых педиатров, обеспеченных жилыми помещениями за счёт средств бюджета муниципального образования или выделенными из муниципального жилого фонда (компенсация аренды жилой площади, социальной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специализированный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коммерческий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к общей численности врачей участковых терапевтов, врачей участковых педиатров и врачей общей практики (семейные)), нуждающихся в улучшении жилищных условий (состоящие на учете, а также привлечённые из других территорий, нуждающиеся в улучшении жилищных условий) в соответствии с Жилищным кодексом Российской Федерации, а также с законами Московской области, выраженное в процентах.</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Показатель считается с начала отчётного года нарастающим итогом. Врачи учитываются как обеспеченные и нуждающиеся однократно на протяжении отчётного периода, независимо от вида поддержки.</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 xml:space="preserve">При отсутствии нуждающихся врачей в обеспечении жилыми помещениями значение определяется как 100%. </w:t>
      </w:r>
    </w:p>
    <w:p w:rsid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Рассчитывается по формуле:</w:t>
      </w:r>
    </w:p>
    <w:p w:rsidR="006B416C" w:rsidRDefault="006B416C" w:rsidP="006A5227">
      <w:pPr>
        <w:pStyle w:val="ConsPlusNormal"/>
        <w:ind w:firstLine="709"/>
        <w:jc w:val="both"/>
        <w:rPr>
          <w:rFonts w:ascii="Arial" w:hAnsi="Arial" w:cs="Arial"/>
          <w:sz w:val="24"/>
          <w:szCs w:val="24"/>
        </w:rPr>
      </w:pPr>
    </w:p>
    <w:p w:rsidR="006B416C" w:rsidRPr="006A5227" w:rsidRDefault="006B416C" w:rsidP="006B416C">
      <w:pPr>
        <w:pStyle w:val="ConsPlusNormal"/>
        <w:ind w:firstLine="709"/>
        <w:jc w:val="center"/>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оу</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об</m:t>
                </m:r>
              </m:sub>
            </m:sSub>
          </m:num>
          <m:den>
            <m:sSub>
              <m:sSubPr>
                <m:ctrlPr>
                  <w:rPr>
                    <w:rFonts w:ascii="Cambria Math" w:hAnsi="Cambria Math" w:cs="Arial"/>
                    <w:sz w:val="24"/>
                    <w:szCs w:val="24"/>
                  </w:rPr>
                </m:ctrlPr>
              </m:sSubPr>
              <m:e>
                <m:r>
                  <w:rPr>
                    <w:rFonts w:ascii="Cambria Math" w:hAnsi="Cambria Math" w:cs="Arial"/>
                    <w:sz w:val="24"/>
                    <w:szCs w:val="24"/>
                  </w:rPr>
                  <m:t>Д</m:t>
                </m:r>
              </m:e>
              <m:sub>
                <m:r>
                  <w:rPr>
                    <w:rFonts w:ascii="Cambria Math" w:hAnsi="Cambria Math" w:cs="Arial"/>
                    <w:sz w:val="24"/>
                    <w:szCs w:val="24"/>
                  </w:rPr>
                  <m:t>н</m:t>
                </m:r>
              </m:sub>
            </m:sSub>
          </m:den>
        </m:f>
        <m:r>
          <w:rPr>
            <w:rFonts w:ascii="Cambria Math" w:hAnsi="Cambria Math" w:cs="Arial"/>
            <w:sz w:val="24"/>
            <w:szCs w:val="24"/>
          </w:rPr>
          <m:t xml:space="preserve"> х 100%</m:t>
        </m:r>
      </m:oMath>
      <w:r w:rsidRPr="006A5227">
        <w:rPr>
          <w:rFonts w:ascii="Arial" w:hAnsi="Arial" w:cs="Arial"/>
          <w:sz w:val="24"/>
          <w:szCs w:val="24"/>
        </w:rPr>
        <w:t>, где:</w:t>
      </w:r>
    </w:p>
    <w:p w:rsidR="006B416C" w:rsidRDefault="006B416C" w:rsidP="006A5227">
      <w:pPr>
        <w:pStyle w:val="ConsPlusNormal"/>
        <w:ind w:firstLine="709"/>
        <w:jc w:val="both"/>
        <w:rPr>
          <w:rFonts w:ascii="Arial" w:hAnsi="Arial" w:cs="Arial"/>
          <w:sz w:val="24"/>
          <w:szCs w:val="24"/>
        </w:rPr>
      </w:pP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Доу - доля врачей участковых и врачей общей практики государственных учреждений здравоохранения, обеспеченных жилыми помещениями, процент</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Доб</w:t>
      </w:r>
      <w:proofErr w:type="spellEnd"/>
      <w:r w:rsidRPr="006A5227">
        <w:rPr>
          <w:rFonts w:ascii="Arial" w:hAnsi="Arial" w:cs="Arial"/>
          <w:sz w:val="24"/>
          <w:szCs w:val="24"/>
        </w:rPr>
        <w:t xml:space="preserve"> - количество врачей участковых и врачей общей практики, обеспеченных жилыми помещениями (компенсация аренды жилой площади, социальной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специализированный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коммерческий </w:t>
      </w:r>
      <w:proofErr w:type="spellStart"/>
      <w:r w:rsidRPr="006A5227">
        <w:rPr>
          <w:rFonts w:ascii="Arial" w:hAnsi="Arial" w:cs="Arial"/>
          <w:sz w:val="24"/>
          <w:szCs w:val="24"/>
        </w:rPr>
        <w:t>найм</w:t>
      </w:r>
      <w:proofErr w:type="spellEnd"/>
      <w:r w:rsidRPr="006A5227">
        <w:rPr>
          <w:rFonts w:ascii="Arial" w:hAnsi="Arial" w:cs="Arial"/>
          <w:sz w:val="24"/>
          <w:szCs w:val="24"/>
        </w:rPr>
        <w:t xml:space="preserve"> жилого помещения), чел.</w:t>
      </w:r>
    </w:p>
    <w:p w:rsidR="006A5227" w:rsidRPr="006A5227" w:rsidRDefault="006A5227" w:rsidP="006A5227">
      <w:pPr>
        <w:pStyle w:val="ConsPlusNormal"/>
        <w:ind w:firstLine="709"/>
        <w:jc w:val="both"/>
        <w:rPr>
          <w:rFonts w:ascii="Arial" w:hAnsi="Arial" w:cs="Arial"/>
          <w:sz w:val="24"/>
          <w:szCs w:val="24"/>
        </w:rPr>
      </w:pPr>
      <w:proofErr w:type="spellStart"/>
      <w:r w:rsidRPr="006A5227">
        <w:rPr>
          <w:rFonts w:ascii="Arial" w:hAnsi="Arial" w:cs="Arial"/>
          <w:sz w:val="24"/>
          <w:szCs w:val="24"/>
        </w:rPr>
        <w:t>Дн</w:t>
      </w:r>
      <w:proofErr w:type="spellEnd"/>
      <w:r w:rsidRPr="006A5227">
        <w:rPr>
          <w:rFonts w:ascii="Arial" w:hAnsi="Arial" w:cs="Arial"/>
          <w:sz w:val="24"/>
          <w:szCs w:val="24"/>
        </w:rPr>
        <w:t xml:space="preserve"> </w:t>
      </w:r>
      <w:r w:rsidR="00A96B43">
        <w:rPr>
          <w:rFonts w:ascii="Arial" w:hAnsi="Arial" w:cs="Arial"/>
          <w:sz w:val="24"/>
          <w:szCs w:val="24"/>
        </w:rPr>
        <w:t>-</w:t>
      </w:r>
      <w:r w:rsidRPr="006A5227">
        <w:rPr>
          <w:rFonts w:ascii="Arial" w:hAnsi="Arial" w:cs="Arial"/>
          <w:sz w:val="24"/>
          <w:szCs w:val="24"/>
        </w:rPr>
        <w:t xml:space="preserve"> количество врачей участковых и врачей общей практики, нуждающихся в улучшении жилищных условий (состоящие на учете, а также привлечённые из других территорий, нуждающиеся в улучшении жилищных условий), чел. При отсутствии нуждающихся врачей в обеспечении жилыми помещениями значение показателя определяется как 100%.»</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1.2. Приложение № 2 к Программе Планируемые результаты реализации муниципальной программы «Развитие физической культуры и спорта, формирование здорового образа жизни населения городского округа Жуковский (2017-2021 годы)» изложить в новой редакции (Приложение № 1)</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2. Настоящее постановление вступает в силу с момента подписания.</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3. 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6A5227" w:rsidRPr="006A5227" w:rsidRDefault="006A5227" w:rsidP="006A5227">
      <w:pPr>
        <w:pStyle w:val="ConsPlusNormal"/>
        <w:ind w:firstLine="709"/>
        <w:jc w:val="both"/>
        <w:rPr>
          <w:rFonts w:ascii="Arial" w:hAnsi="Arial" w:cs="Arial"/>
          <w:sz w:val="24"/>
          <w:szCs w:val="24"/>
        </w:rPr>
      </w:pPr>
      <w:r w:rsidRPr="006A5227">
        <w:rPr>
          <w:rFonts w:ascii="Arial" w:hAnsi="Arial" w:cs="Arial"/>
          <w:sz w:val="24"/>
          <w:szCs w:val="24"/>
        </w:rPr>
        <w:t>4. Контроль за выполнением настоящего постановления возложить на заместителя руководителя Администрации городского округа Жуковский А.В. Дунаевич.</w:t>
      </w:r>
    </w:p>
    <w:p w:rsidR="006A5227" w:rsidRPr="006A5227" w:rsidRDefault="006A5227" w:rsidP="006A5227">
      <w:pPr>
        <w:pStyle w:val="ConsPlusNormal"/>
        <w:ind w:firstLine="709"/>
        <w:jc w:val="both"/>
        <w:rPr>
          <w:rFonts w:ascii="Arial" w:hAnsi="Arial" w:cs="Arial"/>
          <w:sz w:val="24"/>
          <w:szCs w:val="24"/>
        </w:rPr>
      </w:pPr>
    </w:p>
    <w:p w:rsidR="006A5227" w:rsidRPr="006A5227" w:rsidRDefault="006A5227" w:rsidP="006A5227">
      <w:pPr>
        <w:pStyle w:val="ConsPlusNormal"/>
        <w:ind w:firstLine="709"/>
        <w:jc w:val="both"/>
        <w:rPr>
          <w:rFonts w:ascii="Arial" w:hAnsi="Arial" w:cs="Arial"/>
          <w:sz w:val="24"/>
          <w:szCs w:val="24"/>
        </w:rPr>
      </w:pPr>
    </w:p>
    <w:p w:rsidR="006A5227" w:rsidRPr="006A5227" w:rsidRDefault="006A5227" w:rsidP="00AD0080">
      <w:pPr>
        <w:pStyle w:val="ConsPlusNormal"/>
        <w:jc w:val="both"/>
        <w:rPr>
          <w:rFonts w:ascii="Arial" w:hAnsi="Arial" w:cs="Arial"/>
          <w:sz w:val="24"/>
          <w:szCs w:val="24"/>
        </w:rPr>
      </w:pPr>
      <w:r w:rsidRPr="006A5227">
        <w:rPr>
          <w:rFonts w:ascii="Arial" w:hAnsi="Arial" w:cs="Arial"/>
          <w:sz w:val="24"/>
          <w:szCs w:val="24"/>
        </w:rPr>
        <w:t>Руководитель Администрации</w:t>
      </w:r>
    </w:p>
    <w:p w:rsidR="006A5227" w:rsidRDefault="006A5227" w:rsidP="00AD0080">
      <w:pPr>
        <w:pStyle w:val="ConsPlusNormal"/>
        <w:jc w:val="both"/>
        <w:rPr>
          <w:rFonts w:ascii="Arial" w:hAnsi="Arial" w:cs="Arial"/>
          <w:sz w:val="24"/>
          <w:szCs w:val="24"/>
        </w:rPr>
      </w:pPr>
      <w:r w:rsidRPr="006A5227">
        <w:rPr>
          <w:rFonts w:ascii="Arial" w:hAnsi="Arial" w:cs="Arial"/>
          <w:sz w:val="24"/>
          <w:szCs w:val="24"/>
        </w:rPr>
        <w:t xml:space="preserve">городского округа Жуковский </w:t>
      </w:r>
      <w:r w:rsidRPr="006A5227">
        <w:rPr>
          <w:rFonts w:ascii="Arial" w:hAnsi="Arial" w:cs="Arial"/>
          <w:sz w:val="24"/>
          <w:szCs w:val="24"/>
        </w:rPr>
        <w:tab/>
      </w:r>
      <w:r w:rsidRPr="006A5227">
        <w:rPr>
          <w:rFonts w:ascii="Arial" w:hAnsi="Arial" w:cs="Arial"/>
          <w:sz w:val="24"/>
          <w:szCs w:val="24"/>
        </w:rPr>
        <w:tab/>
      </w:r>
      <w:r w:rsidR="00AD0080">
        <w:rPr>
          <w:rFonts w:ascii="Arial" w:hAnsi="Arial" w:cs="Arial"/>
          <w:sz w:val="24"/>
          <w:szCs w:val="24"/>
        </w:rPr>
        <w:tab/>
      </w:r>
      <w:r w:rsidR="00AD0080">
        <w:rPr>
          <w:rFonts w:ascii="Arial" w:hAnsi="Arial" w:cs="Arial"/>
          <w:sz w:val="24"/>
          <w:szCs w:val="24"/>
        </w:rPr>
        <w:tab/>
      </w:r>
      <w:r w:rsidR="00AD0080">
        <w:rPr>
          <w:rFonts w:ascii="Arial" w:hAnsi="Arial" w:cs="Arial"/>
          <w:sz w:val="24"/>
          <w:szCs w:val="24"/>
        </w:rPr>
        <w:tab/>
      </w:r>
      <w:r w:rsidR="00AD0080">
        <w:rPr>
          <w:rFonts w:ascii="Arial" w:hAnsi="Arial" w:cs="Arial"/>
          <w:sz w:val="24"/>
          <w:szCs w:val="24"/>
        </w:rPr>
        <w:tab/>
      </w:r>
      <w:r w:rsidR="00AD0080">
        <w:rPr>
          <w:rFonts w:ascii="Arial" w:hAnsi="Arial" w:cs="Arial"/>
          <w:sz w:val="24"/>
          <w:szCs w:val="24"/>
        </w:rPr>
        <w:tab/>
      </w:r>
      <w:r w:rsidR="00AD0080">
        <w:rPr>
          <w:rFonts w:ascii="Arial" w:hAnsi="Arial" w:cs="Arial"/>
          <w:sz w:val="24"/>
          <w:szCs w:val="24"/>
        </w:rPr>
        <w:tab/>
      </w:r>
      <w:r w:rsidRPr="006A5227">
        <w:rPr>
          <w:rFonts w:ascii="Arial" w:hAnsi="Arial" w:cs="Arial"/>
          <w:sz w:val="24"/>
          <w:szCs w:val="24"/>
        </w:rPr>
        <w:t>Ю.В. Прохоров</w:t>
      </w:r>
    </w:p>
    <w:p w:rsidR="001A58C2" w:rsidRDefault="001A58C2" w:rsidP="00AD0080">
      <w:pPr>
        <w:pStyle w:val="ConsPlusNormal"/>
        <w:jc w:val="both"/>
        <w:rPr>
          <w:rFonts w:ascii="Arial" w:hAnsi="Arial" w:cs="Arial"/>
          <w:sz w:val="24"/>
          <w:szCs w:val="24"/>
        </w:rPr>
      </w:pPr>
    </w:p>
    <w:p w:rsidR="001A58C2" w:rsidRDefault="001A58C2" w:rsidP="00AD0080">
      <w:pPr>
        <w:pStyle w:val="ConsPlusNormal"/>
        <w:jc w:val="both"/>
        <w:rPr>
          <w:rFonts w:ascii="Arial" w:hAnsi="Arial" w:cs="Arial"/>
          <w:sz w:val="24"/>
          <w:szCs w:val="24"/>
        </w:rPr>
        <w:sectPr w:rsidR="001A58C2" w:rsidSect="006A5227">
          <w:pgSz w:w="11906" w:h="16838"/>
          <w:pgMar w:top="1134" w:right="567" w:bottom="1134" w:left="1134" w:header="709" w:footer="709" w:gutter="0"/>
          <w:cols w:space="708"/>
          <w:docGrid w:linePitch="360"/>
        </w:sectPr>
      </w:pP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Приложение № 1</w:t>
      </w: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к постановлению Администрации</w:t>
      </w: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городского округа Жуковский</w:t>
      </w:r>
    </w:p>
    <w:p w:rsidR="001A58C2" w:rsidRDefault="001A58C2" w:rsidP="001A58C2">
      <w:pPr>
        <w:pStyle w:val="ConsPlusNormal"/>
        <w:jc w:val="right"/>
        <w:rPr>
          <w:rFonts w:ascii="Arial" w:hAnsi="Arial" w:cs="Arial"/>
          <w:sz w:val="24"/>
          <w:szCs w:val="24"/>
        </w:rPr>
      </w:pPr>
      <w:r>
        <w:rPr>
          <w:rFonts w:ascii="Arial" w:hAnsi="Arial" w:cs="Arial"/>
          <w:sz w:val="24"/>
          <w:szCs w:val="24"/>
        </w:rPr>
        <w:t>от 26.03.2018 № 308</w:t>
      </w:r>
    </w:p>
    <w:p w:rsidR="001A58C2" w:rsidRDefault="001A58C2" w:rsidP="001A58C2">
      <w:pPr>
        <w:pStyle w:val="ConsPlusNormal"/>
        <w:jc w:val="right"/>
        <w:rPr>
          <w:rFonts w:ascii="Arial" w:hAnsi="Arial" w:cs="Arial"/>
          <w:sz w:val="24"/>
          <w:szCs w:val="24"/>
        </w:rPr>
      </w:pPr>
    </w:p>
    <w:p w:rsidR="001A58C2" w:rsidRDefault="00017C63" w:rsidP="001A58C2">
      <w:pPr>
        <w:pStyle w:val="ConsPlusNormal"/>
        <w:jc w:val="right"/>
        <w:rPr>
          <w:rFonts w:ascii="Arial" w:hAnsi="Arial" w:cs="Arial"/>
          <w:sz w:val="24"/>
          <w:szCs w:val="24"/>
        </w:rPr>
      </w:pPr>
      <w:r>
        <w:rPr>
          <w:rFonts w:ascii="Arial" w:hAnsi="Arial" w:cs="Arial"/>
          <w:sz w:val="24"/>
          <w:szCs w:val="24"/>
        </w:rPr>
        <w:t>«</w:t>
      </w:r>
      <w:r w:rsidR="001A58C2" w:rsidRPr="001A58C2">
        <w:rPr>
          <w:rFonts w:ascii="Arial" w:hAnsi="Arial" w:cs="Arial"/>
          <w:sz w:val="24"/>
          <w:szCs w:val="24"/>
        </w:rPr>
        <w:t>Приложение №2 к муниципальной программе</w:t>
      </w: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«Развитие физической культуры и спорта,</w:t>
      </w: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формирование</w:t>
      </w:r>
      <w:r>
        <w:rPr>
          <w:rFonts w:ascii="Arial" w:hAnsi="Arial" w:cs="Arial"/>
          <w:sz w:val="24"/>
          <w:szCs w:val="24"/>
        </w:rPr>
        <w:t xml:space="preserve"> </w:t>
      </w:r>
      <w:r w:rsidRPr="001A58C2">
        <w:rPr>
          <w:rFonts w:ascii="Arial" w:hAnsi="Arial" w:cs="Arial"/>
          <w:sz w:val="24"/>
          <w:szCs w:val="24"/>
        </w:rPr>
        <w:t>здорового образа жизни населения</w:t>
      </w:r>
    </w:p>
    <w:p w:rsidR="001A58C2" w:rsidRDefault="001A58C2" w:rsidP="001A58C2">
      <w:pPr>
        <w:pStyle w:val="ConsPlusNormal"/>
        <w:jc w:val="right"/>
        <w:rPr>
          <w:rFonts w:ascii="Arial" w:hAnsi="Arial" w:cs="Arial"/>
          <w:sz w:val="24"/>
          <w:szCs w:val="24"/>
        </w:rPr>
      </w:pPr>
      <w:r w:rsidRPr="001A58C2">
        <w:rPr>
          <w:rFonts w:ascii="Arial" w:hAnsi="Arial" w:cs="Arial"/>
          <w:sz w:val="24"/>
          <w:szCs w:val="24"/>
        </w:rPr>
        <w:t>городского округа Жуковский (2017-2021 годы)"</w:t>
      </w:r>
    </w:p>
    <w:p w:rsidR="00017C63" w:rsidRDefault="00017C63" w:rsidP="001A58C2">
      <w:pPr>
        <w:pStyle w:val="ConsPlusNormal"/>
        <w:jc w:val="right"/>
        <w:rPr>
          <w:rFonts w:ascii="Arial" w:hAnsi="Arial" w:cs="Arial"/>
          <w:sz w:val="24"/>
          <w:szCs w:val="24"/>
        </w:rPr>
      </w:pPr>
    </w:p>
    <w:p w:rsidR="00017C63" w:rsidRDefault="00017C63" w:rsidP="00017C63">
      <w:pPr>
        <w:pStyle w:val="ConsPlusNormal"/>
        <w:jc w:val="center"/>
        <w:rPr>
          <w:rFonts w:ascii="Arial" w:hAnsi="Arial" w:cs="Arial"/>
          <w:b/>
          <w:sz w:val="24"/>
          <w:szCs w:val="24"/>
        </w:rPr>
      </w:pPr>
      <w:r w:rsidRPr="00017C63">
        <w:rPr>
          <w:rFonts w:ascii="Arial" w:hAnsi="Arial" w:cs="Arial"/>
          <w:b/>
          <w:sz w:val="24"/>
          <w:szCs w:val="24"/>
        </w:rPr>
        <w:t>ПЛАНИРУЕМЫЕ РЕЗУЛЬТАТЫ РЕАЛИЗАЦИИ МУНИЦИПАЛЬНОЙ ПРОГРАММЫ</w:t>
      </w:r>
    </w:p>
    <w:p w:rsidR="00017C63" w:rsidRDefault="00017C63" w:rsidP="00017C63">
      <w:pPr>
        <w:pStyle w:val="ConsPlusNormal"/>
        <w:jc w:val="center"/>
        <w:rPr>
          <w:rFonts w:ascii="Arial" w:hAnsi="Arial" w:cs="Arial"/>
          <w:b/>
          <w:sz w:val="24"/>
          <w:szCs w:val="24"/>
        </w:rPr>
      </w:pPr>
      <w:r w:rsidRPr="00017C63">
        <w:rPr>
          <w:rFonts w:ascii="Arial" w:hAnsi="Arial" w:cs="Arial"/>
          <w:b/>
          <w:sz w:val="24"/>
          <w:szCs w:val="24"/>
        </w:rPr>
        <w:t>«Развитие физической культуры и спорта, формирование здорового образа жизни населения городского округа Жуковский (2017-2021 годы)»</w:t>
      </w:r>
    </w:p>
    <w:p w:rsidR="00017C63" w:rsidRDefault="00017C63" w:rsidP="00017C63">
      <w:pPr>
        <w:pStyle w:val="ConsPlusNormal"/>
        <w:jc w:val="center"/>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6033"/>
        <w:gridCol w:w="869"/>
        <w:gridCol w:w="1469"/>
        <w:gridCol w:w="1225"/>
        <w:gridCol w:w="1244"/>
        <w:gridCol w:w="1131"/>
        <w:gridCol w:w="1300"/>
        <w:gridCol w:w="1357"/>
      </w:tblGrid>
      <w:tr w:rsidR="00A55BE8" w:rsidRPr="00017C63" w:rsidTr="00017C63">
        <w:tc>
          <w:tcPr>
            <w:tcW w:w="780" w:type="dxa"/>
            <w:vMerge w:val="restart"/>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п/п </w:t>
            </w:r>
          </w:p>
        </w:tc>
        <w:tc>
          <w:tcPr>
            <w:tcW w:w="6420" w:type="dxa"/>
            <w:vMerge w:val="restart"/>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Планируемые результаты реализации муниципальной программы</w:t>
            </w:r>
          </w:p>
        </w:tc>
        <w:tc>
          <w:tcPr>
            <w:tcW w:w="920" w:type="dxa"/>
            <w:vMerge w:val="restart"/>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Ед.  изм.     </w:t>
            </w:r>
          </w:p>
        </w:tc>
        <w:tc>
          <w:tcPr>
            <w:tcW w:w="1560" w:type="dxa"/>
            <w:vMerge w:val="restart"/>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Базовое значение  результата (2016 год)</w:t>
            </w:r>
          </w:p>
        </w:tc>
        <w:tc>
          <w:tcPr>
            <w:tcW w:w="6640" w:type="dxa"/>
            <w:gridSpan w:val="5"/>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Планируемое значение показателя по годам реализации </w:t>
            </w:r>
          </w:p>
        </w:tc>
      </w:tr>
      <w:tr w:rsidR="00017C63" w:rsidRPr="00A55BE8" w:rsidTr="00017C63">
        <w:tc>
          <w:tcPr>
            <w:tcW w:w="780" w:type="dxa"/>
            <w:vMerge/>
            <w:vAlign w:val="center"/>
            <w:hideMark/>
          </w:tcPr>
          <w:p w:rsidR="00017C63" w:rsidRPr="00017C63" w:rsidRDefault="00017C63" w:rsidP="00A55BE8">
            <w:pPr>
              <w:spacing w:after="0"/>
              <w:rPr>
                <w:rFonts w:ascii="Arial" w:eastAsia="Times New Roman" w:hAnsi="Arial" w:cs="Arial"/>
                <w:color w:val="000000"/>
                <w:sz w:val="24"/>
                <w:szCs w:val="24"/>
                <w:lang w:eastAsia="ru-RU"/>
              </w:rPr>
            </w:pPr>
          </w:p>
        </w:tc>
        <w:tc>
          <w:tcPr>
            <w:tcW w:w="6420" w:type="dxa"/>
            <w:vMerge/>
            <w:vAlign w:val="center"/>
            <w:hideMark/>
          </w:tcPr>
          <w:p w:rsidR="00017C63" w:rsidRPr="00017C63" w:rsidRDefault="00017C63" w:rsidP="00A55BE8">
            <w:pPr>
              <w:spacing w:after="0"/>
              <w:rPr>
                <w:rFonts w:ascii="Arial" w:eastAsia="Times New Roman" w:hAnsi="Arial" w:cs="Arial"/>
                <w:color w:val="000000"/>
                <w:sz w:val="24"/>
                <w:szCs w:val="24"/>
                <w:lang w:eastAsia="ru-RU"/>
              </w:rPr>
            </w:pPr>
          </w:p>
        </w:tc>
        <w:tc>
          <w:tcPr>
            <w:tcW w:w="920" w:type="dxa"/>
            <w:vMerge/>
            <w:vAlign w:val="center"/>
            <w:hideMark/>
          </w:tcPr>
          <w:p w:rsidR="00017C63" w:rsidRPr="00017C63" w:rsidRDefault="00017C63" w:rsidP="00A55BE8">
            <w:pPr>
              <w:spacing w:after="0"/>
              <w:rPr>
                <w:rFonts w:ascii="Arial" w:eastAsia="Times New Roman" w:hAnsi="Arial" w:cs="Arial"/>
                <w:color w:val="000000"/>
                <w:sz w:val="24"/>
                <w:szCs w:val="24"/>
                <w:lang w:eastAsia="ru-RU"/>
              </w:rPr>
            </w:pPr>
          </w:p>
        </w:tc>
        <w:tc>
          <w:tcPr>
            <w:tcW w:w="1560" w:type="dxa"/>
            <w:vMerge/>
            <w:vAlign w:val="center"/>
            <w:hideMark/>
          </w:tcPr>
          <w:p w:rsidR="00017C63" w:rsidRPr="00017C63" w:rsidRDefault="00017C63" w:rsidP="00A55BE8">
            <w:pPr>
              <w:spacing w:after="0"/>
              <w:rPr>
                <w:rFonts w:ascii="Arial" w:eastAsia="Times New Roman" w:hAnsi="Arial" w:cs="Arial"/>
                <w:color w:val="000000"/>
                <w:sz w:val="24"/>
                <w:szCs w:val="24"/>
                <w:lang w:eastAsia="ru-RU"/>
              </w:rPr>
            </w:pP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2017 год</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2018 год</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2019 год</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2020 год</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2021 год</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w:t>
            </w:r>
          </w:p>
        </w:tc>
        <w:tc>
          <w:tcPr>
            <w:tcW w:w="64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11</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12</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13</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14</w:t>
            </w:r>
          </w:p>
        </w:tc>
      </w:tr>
      <w:tr w:rsidR="00017C63" w:rsidRPr="00017C63" w:rsidTr="00017C63">
        <w:tc>
          <w:tcPr>
            <w:tcW w:w="16320" w:type="dxa"/>
            <w:gridSpan w:val="9"/>
            <w:shd w:val="clear" w:color="auto" w:fill="auto"/>
            <w:vAlign w:val="center"/>
            <w:hideMark/>
          </w:tcPr>
          <w:p w:rsidR="00017C63" w:rsidRPr="00017C63" w:rsidRDefault="00017C63" w:rsidP="00A55BE8">
            <w:pPr>
              <w:spacing w:after="0"/>
              <w:jc w:val="center"/>
              <w:rPr>
                <w:rFonts w:ascii="Arial" w:eastAsia="Times New Roman" w:hAnsi="Arial" w:cs="Arial"/>
                <w:b/>
                <w:bCs/>
                <w:color w:val="000000"/>
                <w:sz w:val="24"/>
                <w:szCs w:val="24"/>
                <w:lang w:eastAsia="ru-RU"/>
              </w:rPr>
            </w:pPr>
            <w:r w:rsidRPr="00017C63">
              <w:rPr>
                <w:rFonts w:ascii="Arial" w:eastAsia="Times New Roman" w:hAnsi="Arial" w:cs="Arial"/>
                <w:b/>
                <w:bCs/>
                <w:color w:val="000000"/>
                <w:sz w:val="24"/>
                <w:szCs w:val="24"/>
                <w:lang w:eastAsia="ru-RU"/>
              </w:rPr>
              <w:t>ПОДПРОГРАММА I «Создание условий для развития физической культуры и спорта»</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жителей городского округа Жуковский, систематически занимающегося физической культурой и спортом в общей численности населения городского округа Жуковский</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34,5</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36,5</w:t>
            </w:r>
          </w:p>
        </w:tc>
        <w:tc>
          <w:tcPr>
            <w:tcW w:w="132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38,5</w:t>
            </w:r>
          </w:p>
        </w:tc>
        <w:tc>
          <w:tcPr>
            <w:tcW w:w="120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40,5</w:t>
            </w:r>
          </w:p>
        </w:tc>
        <w:tc>
          <w:tcPr>
            <w:tcW w:w="138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43,6</w:t>
            </w:r>
          </w:p>
        </w:tc>
        <w:tc>
          <w:tcPr>
            <w:tcW w:w="144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45,1</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1.1.</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Количество жителей городского округа Жуковский, систематически занимающихся физической культурой и спортом</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тыс. чел.</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37,59</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39,96</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42,37</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44,78</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47,18</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49,59</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1.2.</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граждан, занимающихся в спортивных организациях, в общей численности детей и молодежи в возрасте 6-15 лет</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38</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41</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44</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47</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52</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1.3.</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учащихся и студентов, систематически занимающихся физической культурой и спортом, в общей численности учащихся и студентов </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69</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73</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77</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81</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85</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86</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1.4.</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населения Московской области, занятого в экономике, занимающегося физической культурой и спортом, в общей численности населения, занятого в экономике</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18,3</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18,5</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21</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25,3</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28,9</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1.5.</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Доля лиц с ограниченными возможностями здоровья и инвалидов, систематически занимающихся физкультурой и спортом, в общем числе указанной категории населения, проживающих в Московской области</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6,5</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9,5</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11</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15</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15,5</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Эффективность использования существующих объектов спорта </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61</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75</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95</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97</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99</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99</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2.1.</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жителей городского округа Жуковский,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30,3</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30,6</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30,9</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2.2.</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Доля обучающихся и студентов городского округа Жуковский, выполнивших нормативы Всероссийского физкультурно-спортивного комплекса «Готов к труду и обороне» (ГТО), в общей численности обучающихся и студентов, принявших участие в сдаче нормативов Всероссийского физкультурно-спортивного комплекса "Готов к труду и обороне" (ГТО)</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30</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50,3</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50,6</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50,9</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2.3.</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Фактическая обеспеченность населения Московской области объектами спорта (единовременная пропускная способность объектов спорта) на 10 000 населения</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человек</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242,7</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244,0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246,4</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252,6</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252,6</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252,6</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2.4.</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Количество введенных в эксплуатацию спортивных объектов</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1</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1</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2.5.</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Количество реконструированных объектов физической культуры и спорта</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2.6.</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Количество физкультурно-оздоровительных комплексов по поручению Губернатора Московской области "50 </w:t>
            </w:r>
            <w:proofErr w:type="spellStart"/>
            <w:r w:rsidRPr="00017C63">
              <w:rPr>
                <w:rFonts w:ascii="Arial" w:eastAsia="Times New Roman" w:hAnsi="Arial" w:cs="Arial"/>
                <w:color w:val="000000"/>
                <w:sz w:val="24"/>
                <w:szCs w:val="24"/>
                <w:lang w:eastAsia="ru-RU"/>
              </w:rPr>
              <w:t>ФОКов</w:t>
            </w:r>
            <w:proofErr w:type="spellEnd"/>
            <w:r w:rsidRPr="00017C63">
              <w:rPr>
                <w:rFonts w:ascii="Arial" w:eastAsia="Times New Roman" w:hAnsi="Arial" w:cs="Arial"/>
                <w:color w:val="000000"/>
                <w:sz w:val="24"/>
                <w:szCs w:val="24"/>
                <w:lang w:eastAsia="ru-RU"/>
              </w:rPr>
              <w:t>"</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2.7.</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Количество реконструированных объектов физической культуры и спорта (стадионы или футбольные поля)</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2.8.</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Количество плоскостных сооружений на которых проведен капитальный ремонт</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2.9.</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Модернизация материально-технической базы объектов физической культуры и спорта путем проведения капитального ремонта и технического переоснащения</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1</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sz w:val="24"/>
                <w:szCs w:val="24"/>
                <w:lang w:eastAsia="ru-RU"/>
              </w:rPr>
            </w:pPr>
            <w:r w:rsidRPr="00017C63">
              <w:rPr>
                <w:rFonts w:ascii="Arial" w:eastAsia="Times New Roman" w:hAnsi="Arial" w:cs="Arial"/>
                <w:sz w:val="24"/>
                <w:szCs w:val="24"/>
                <w:lang w:eastAsia="ru-RU"/>
              </w:rPr>
              <w:t>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2.10.</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Количество введенных в эксплуатацию тренировочных площадок муниципальных образований Московской области, соответствующих требованиям ФИФА, предназначенных для проведения предварительных тренировок</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ед.</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2.11.</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Московской области, в том числе для лиц с ограниченными возможностями </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85</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90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2.12.</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Доля эффективно используемых плоскостных спортивных сооружений, соответствующих требованиям: имеющих балансодержателей, паспорт объекта, закреплен тренер</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72</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75</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r w:rsidR="00017C63" w:rsidRPr="00017C63" w:rsidTr="00017C63">
        <w:tc>
          <w:tcPr>
            <w:tcW w:w="16320" w:type="dxa"/>
            <w:gridSpan w:val="9"/>
            <w:shd w:val="clear" w:color="auto" w:fill="auto"/>
            <w:vAlign w:val="center"/>
            <w:hideMark/>
          </w:tcPr>
          <w:p w:rsidR="00017C63" w:rsidRPr="00017C63" w:rsidRDefault="00017C63" w:rsidP="00A55BE8">
            <w:pPr>
              <w:spacing w:after="0"/>
              <w:jc w:val="center"/>
              <w:rPr>
                <w:rFonts w:ascii="Arial" w:eastAsia="Times New Roman" w:hAnsi="Arial" w:cs="Arial"/>
                <w:b/>
                <w:bCs/>
                <w:color w:val="000000"/>
                <w:sz w:val="24"/>
                <w:szCs w:val="24"/>
                <w:lang w:eastAsia="ru-RU"/>
              </w:rPr>
            </w:pPr>
            <w:r w:rsidRPr="00017C63">
              <w:rPr>
                <w:rFonts w:ascii="Arial" w:eastAsia="Times New Roman" w:hAnsi="Arial" w:cs="Arial"/>
                <w:b/>
                <w:bCs/>
                <w:color w:val="000000"/>
                <w:sz w:val="24"/>
                <w:szCs w:val="24"/>
                <w:lang w:eastAsia="ru-RU"/>
              </w:rPr>
              <w:t xml:space="preserve">ПОДПРОГРАММА II «Создание условий для оказания медицинской помощи»   </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Доля взрослого населения городского округа, прошедшего диспансеризацию, от общего числа взрослого населения</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23</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23</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2</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Диспансеризация - Доля  населения, прошедшего диспансеризацию</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3</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медицинских работников государственных учреждений здравоохранения городского округа, обеспеченных жилыми помещениями</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13</w:t>
            </w:r>
          </w:p>
        </w:tc>
        <w:tc>
          <w:tcPr>
            <w:tcW w:w="13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13</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4</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Привлечение участковых врачей 1 врач - 1 участок - Отсутствие (сокращение) дефицита врачей привлечение/ стимулирование/ жильё</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100</w:t>
            </w:r>
          </w:p>
        </w:tc>
      </w:tr>
      <w:tr w:rsidR="00017C63" w:rsidRPr="00A55BE8" w:rsidTr="00017C63">
        <w:tc>
          <w:tcPr>
            <w:tcW w:w="7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5</w:t>
            </w:r>
          </w:p>
        </w:tc>
        <w:tc>
          <w:tcPr>
            <w:tcW w:w="6420" w:type="dxa"/>
            <w:shd w:val="clear" w:color="auto" w:fill="auto"/>
            <w:hideMark/>
          </w:tcPr>
          <w:p w:rsidR="00017C63" w:rsidRPr="00017C63" w:rsidRDefault="00017C63" w:rsidP="00A55BE8">
            <w:pPr>
              <w:spacing w:after="0"/>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 xml:space="preserve"> Доля населения, которым проведены профилактические осмотры на туберкулез</w:t>
            </w:r>
          </w:p>
        </w:tc>
        <w:tc>
          <w:tcPr>
            <w:tcW w:w="9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56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00" w:type="dxa"/>
            <w:shd w:val="clear" w:color="000000" w:fill="FFFFFF"/>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67,2</w:t>
            </w:r>
          </w:p>
        </w:tc>
        <w:tc>
          <w:tcPr>
            <w:tcW w:w="132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20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38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c>
          <w:tcPr>
            <w:tcW w:w="1440" w:type="dxa"/>
            <w:shd w:val="clear" w:color="auto" w:fill="auto"/>
            <w:vAlign w:val="center"/>
            <w:hideMark/>
          </w:tcPr>
          <w:p w:rsidR="00017C63" w:rsidRPr="00017C63" w:rsidRDefault="00017C63" w:rsidP="00A55BE8">
            <w:pPr>
              <w:spacing w:after="0"/>
              <w:jc w:val="center"/>
              <w:rPr>
                <w:rFonts w:ascii="Arial" w:eastAsia="Times New Roman" w:hAnsi="Arial" w:cs="Arial"/>
                <w:color w:val="000000"/>
                <w:sz w:val="24"/>
                <w:szCs w:val="24"/>
                <w:lang w:eastAsia="ru-RU"/>
              </w:rPr>
            </w:pPr>
            <w:r w:rsidRPr="00017C63">
              <w:rPr>
                <w:rFonts w:ascii="Arial" w:eastAsia="Times New Roman" w:hAnsi="Arial" w:cs="Arial"/>
                <w:color w:val="000000"/>
                <w:sz w:val="24"/>
                <w:szCs w:val="24"/>
                <w:lang w:eastAsia="ru-RU"/>
              </w:rPr>
              <w:t>-</w:t>
            </w:r>
          </w:p>
        </w:tc>
      </w:tr>
    </w:tbl>
    <w:p w:rsidR="00017C63" w:rsidRPr="00017C63" w:rsidRDefault="00017C63" w:rsidP="00017C63">
      <w:pPr>
        <w:pStyle w:val="ConsPlusNormal"/>
        <w:jc w:val="center"/>
        <w:rPr>
          <w:rFonts w:ascii="Arial" w:hAnsi="Arial" w:cs="Arial"/>
          <w:b/>
          <w:sz w:val="24"/>
          <w:szCs w:val="24"/>
        </w:rPr>
      </w:pPr>
    </w:p>
    <w:p w:rsidR="001A58C2" w:rsidRDefault="001A58C2" w:rsidP="00AD0080">
      <w:pPr>
        <w:pStyle w:val="ConsPlusNormal"/>
        <w:jc w:val="both"/>
        <w:rPr>
          <w:rFonts w:ascii="Arial" w:hAnsi="Arial" w:cs="Arial"/>
          <w:sz w:val="24"/>
          <w:szCs w:val="24"/>
        </w:rPr>
      </w:pPr>
      <w:bookmarkStart w:id="0" w:name="_GoBack"/>
      <w:bookmarkEnd w:id="0"/>
    </w:p>
    <w:sectPr w:rsidR="001A58C2" w:rsidSect="001A58C2">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87"/>
    <w:rsid w:val="00017C63"/>
    <w:rsid w:val="0013593E"/>
    <w:rsid w:val="001A58C2"/>
    <w:rsid w:val="00212B4B"/>
    <w:rsid w:val="002C0CA0"/>
    <w:rsid w:val="003E6B4B"/>
    <w:rsid w:val="004C40D4"/>
    <w:rsid w:val="004F7AD2"/>
    <w:rsid w:val="006A5227"/>
    <w:rsid w:val="006B416C"/>
    <w:rsid w:val="007F3D58"/>
    <w:rsid w:val="00993487"/>
    <w:rsid w:val="009C2DB2"/>
    <w:rsid w:val="009C7955"/>
    <w:rsid w:val="00A55BE8"/>
    <w:rsid w:val="00A96B43"/>
    <w:rsid w:val="00AD0080"/>
    <w:rsid w:val="00AD716C"/>
    <w:rsid w:val="00C96C17"/>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744B"/>
  <w15:chartTrackingRefBased/>
  <w15:docId w15:val="{EFC413D0-E591-4425-BD53-A6D23DC6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6A5227"/>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Title">
    <w:name w:val="ConsPlusTitle"/>
    <w:rsid w:val="006A5227"/>
    <w:pPr>
      <w:widowControl w:val="0"/>
      <w:autoSpaceDE w:val="0"/>
      <w:autoSpaceDN w:val="0"/>
      <w:spacing w:after="0"/>
    </w:pPr>
    <w:rPr>
      <w:rFonts w:eastAsia="Times New Roman" w:cs="Calibri"/>
      <w:b/>
      <w:sz w:val="22"/>
      <w:lang w:eastAsia="ru-RU"/>
    </w:rPr>
  </w:style>
  <w:style w:type="paragraph" w:customStyle="1" w:styleId="ConsPlusNormal">
    <w:name w:val="ConsPlusNormal"/>
    <w:rsid w:val="006A5227"/>
    <w:pPr>
      <w:widowControl w:val="0"/>
      <w:autoSpaceDE w:val="0"/>
      <w:autoSpaceDN w:val="0"/>
      <w:spacing w:after="0"/>
    </w:pPr>
    <w:rPr>
      <w:rFonts w:eastAsia="Times New Roman"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8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10</cp:revision>
  <dcterms:created xsi:type="dcterms:W3CDTF">2018-08-21T09:42:00Z</dcterms:created>
  <dcterms:modified xsi:type="dcterms:W3CDTF">2018-08-21T10:00:00Z</dcterms:modified>
</cp:coreProperties>
</file>