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РОССИЙСКАЯ ФЕДЕРАЦИЯ</w:t>
      </w: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МОСКОВСКАЯ ОБЛАСТЬ</w:t>
      </w: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ГОРОДСКОЙ ОКРУГ ЖУКОВСКИЙ</w:t>
      </w: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ПОСТАНОВЛЕНИЕ</w:t>
      </w:r>
    </w:p>
    <w:p w:rsidR="0051022F" w:rsidRPr="00C50B6F" w:rsidRDefault="0051022F" w:rsidP="0051022F">
      <w:pPr>
        <w:jc w:val="center"/>
        <w:rPr>
          <w:rFonts w:ascii="Arial" w:hAnsi="Arial" w:cs="Arial"/>
          <w:sz w:val="24"/>
          <w:szCs w:val="24"/>
        </w:rPr>
      </w:pPr>
    </w:p>
    <w:p w:rsidR="0051022F" w:rsidRPr="00C50B6F" w:rsidRDefault="0051022F" w:rsidP="0051022F">
      <w:pPr>
        <w:shd w:val="clear" w:color="auto" w:fill="FFFFFF"/>
        <w:ind w:right="50"/>
        <w:rPr>
          <w:rFonts w:ascii="Arial" w:hAnsi="Arial" w:cs="Arial"/>
          <w:b/>
          <w:sz w:val="24"/>
          <w:szCs w:val="24"/>
          <w:u w:val="single"/>
        </w:rPr>
      </w:pPr>
      <w:r w:rsidRPr="00C50B6F">
        <w:rPr>
          <w:rFonts w:ascii="Arial" w:hAnsi="Arial" w:cs="Arial"/>
          <w:b/>
          <w:sz w:val="24"/>
          <w:szCs w:val="24"/>
        </w:rPr>
        <w:t xml:space="preserve">от </w:t>
      </w:r>
      <w:r w:rsidRPr="00C50B6F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41859">
        <w:rPr>
          <w:rFonts w:ascii="Arial" w:hAnsi="Arial" w:cs="Arial"/>
          <w:b/>
          <w:sz w:val="24"/>
          <w:szCs w:val="24"/>
          <w:u w:val="single"/>
        </w:rPr>
        <w:t>18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841859">
        <w:rPr>
          <w:rFonts w:ascii="Arial" w:hAnsi="Arial" w:cs="Arial"/>
          <w:b/>
          <w:sz w:val="24"/>
          <w:szCs w:val="24"/>
          <w:u w:val="single"/>
        </w:rPr>
        <w:t>10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41859">
        <w:rPr>
          <w:rFonts w:ascii="Arial" w:hAnsi="Arial" w:cs="Arial"/>
          <w:b/>
          <w:sz w:val="24"/>
          <w:szCs w:val="24"/>
        </w:rPr>
        <w:t>г.</w:t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="00841859" w:rsidRPr="00841859">
        <w:rPr>
          <w:rFonts w:ascii="Arial" w:hAnsi="Arial" w:cs="Arial"/>
          <w:b/>
          <w:sz w:val="24"/>
          <w:szCs w:val="24"/>
        </w:rPr>
        <w:t xml:space="preserve">№ </w:t>
      </w:r>
      <w:r w:rsidR="00841859">
        <w:rPr>
          <w:rFonts w:ascii="Arial" w:hAnsi="Arial" w:cs="Arial"/>
          <w:b/>
          <w:sz w:val="24"/>
          <w:szCs w:val="24"/>
          <w:u w:val="single"/>
        </w:rPr>
        <w:t>1507</w:t>
      </w:r>
    </w:p>
    <w:p w:rsidR="0051022F" w:rsidRPr="00C50B6F" w:rsidRDefault="0051022F" w:rsidP="0051022F">
      <w:pPr>
        <w:shd w:val="clear" w:color="auto" w:fill="FFFFFF"/>
        <w:ind w:left="65" w:right="5184"/>
        <w:rPr>
          <w:rFonts w:ascii="Arial" w:hAnsi="Arial" w:cs="Arial"/>
          <w:sz w:val="24"/>
          <w:szCs w:val="24"/>
        </w:rPr>
      </w:pPr>
    </w:p>
    <w:p w:rsidR="0051022F" w:rsidRPr="00C50B6F" w:rsidRDefault="00841859" w:rsidP="0051022F">
      <w:pPr>
        <w:shd w:val="clear" w:color="auto" w:fill="FFFFFF"/>
        <w:ind w:right="4536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«Об утверждении Положения об оплате труда работников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</w:p>
    <w:p w:rsidR="0051022F" w:rsidRPr="00C50B6F" w:rsidRDefault="0051022F" w:rsidP="0051022F">
      <w:pPr>
        <w:shd w:val="clear" w:color="auto" w:fill="FFFFFF"/>
        <w:ind w:left="65" w:right="5184"/>
        <w:rPr>
          <w:rFonts w:ascii="Arial" w:hAnsi="Arial" w:cs="Arial"/>
          <w:sz w:val="24"/>
          <w:szCs w:val="24"/>
        </w:rPr>
      </w:pPr>
    </w:p>
    <w:p w:rsidR="0051022F" w:rsidRPr="00C50B6F" w:rsidRDefault="00841859" w:rsidP="0051022F">
      <w:pPr>
        <w:shd w:val="clear" w:color="auto" w:fill="FFFFFF"/>
        <w:tabs>
          <w:tab w:val="left" w:pos="81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Распоряжением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="0051022F" w:rsidRPr="00C50B6F">
        <w:rPr>
          <w:rFonts w:ascii="Arial" w:hAnsi="Arial" w:cs="Arial"/>
          <w:sz w:val="24"/>
          <w:szCs w:val="24"/>
        </w:rPr>
        <w:t>,</w:t>
      </w:r>
    </w:p>
    <w:p w:rsidR="0051022F" w:rsidRPr="00C50B6F" w:rsidRDefault="0051022F" w:rsidP="0051022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</w:p>
    <w:p w:rsidR="0051022F" w:rsidRPr="00C50B6F" w:rsidRDefault="0051022F" w:rsidP="0051022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ПОСТАНОВЛЯЮ:</w:t>
      </w:r>
    </w:p>
    <w:p w:rsidR="0051022F" w:rsidRPr="00C50B6F" w:rsidRDefault="0051022F" w:rsidP="0051022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1. Утвердить Положение об оплате труда работников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бюджетного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«Многофункциональный центр предоставления государственных и муниципальных услуг» (Приложение № 1).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2. Признать утратившими силу следующие постановления Администрации городского округа Жуковский: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- постановление Администрации 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01.09.2014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№ 1425 «Об утверждении Положения об оплате труда работников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Муниципального бюджетного учреждения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«Многофункциональный центр предоставления государственных и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муниципальных услуг»;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1859">
        <w:rPr>
          <w:rFonts w:ascii="Arial" w:hAnsi="Arial" w:cs="Arial"/>
          <w:sz w:val="24"/>
          <w:szCs w:val="24"/>
        </w:rPr>
        <w:t>постановление Администрации 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31.03.2015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№ 401 «О внесении изменений в Положения об оплате труда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работников Муниципального бюджетного учреждения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41859">
        <w:rPr>
          <w:rFonts w:ascii="Arial" w:hAnsi="Arial" w:cs="Arial"/>
          <w:sz w:val="24"/>
          <w:szCs w:val="24"/>
        </w:rPr>
        <w:t>Жуковский «Многофункциональный центр предоставления государственных и муниципальных услуг»;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- постановление Администрации городского округа Жуковский от 25.01.2016 № 71 «О внесении изменений в Положения об оплате труда работников Муниципального бюджетного учреждения городского округа Жуковский «Многофункциональный центр предоставления государственных и муниципальных услуг»;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3.</w:t>
      </w:r>
      <w:r w:rsidRPr="00841859">
        <w:rPr>
          <w:rFonts w:ascii="Arial" w:hAnsi="Arial" w:cs="Arial"/>
          <w:sz w:val="24"/>
          <w:szCs w:val="24"/>
        </w:rPr>
        <w:tab/>
        <w:t>Настоящее постановление вступает в силу с 01.11.2016 года.</w:t>
      </w:r>
    </w:p>
    <w:p w:rsidR="00841859" w:rsidRP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4.</w:t>
      </w:r>
      <w:r w:rsidRPr="00841859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городского округа Жуковский.</w:t>
      </w:r>
    </w:p>
    <w:p w:rsidR="00841859" w:rsidRDefault="00841859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41859">
        <w:rPr>
          <w:rFonts w:ascii="Arial" w:hAnsi="Arial" w:cs="Arial"/>
          <w:sz w:val="24"/>
          <w:szCs w:val="24"/>
        </w:rPr>
        <w:t>5.</w:t>
      </w:r>
      <w:r w:rsidRPr="00841859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А.В. Дунаевич</w:t>
      </w:r>
    </w:p>
    <w:p w:rsidR="0051022F" w:rsidRPr="00C50B6F" w:rsidRDefault="0051022F" w:rsidP="00841859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1022F" w:rsidRPr="00C50B6F" w:rsidRDefault="0051022F" w:rsidP="0051022F">
      <w:pPr>
        <w:shd w:val="clear" w:color="auto" w:fill="FFFFFF"/>
        <w:tabs>
          <w:tab w:val="left" w:pos="7632"/>
        </w:tabs>
        <w:jc w:val="both"/>
        <w:rPr>
          <w:rFonts w:ascii="Arial" w:hAnsi="Arial" w:cs="Arial"/>
          <w:sz w:val="24"/>
          <w:szCs w:val="24"/>
        </w:rPr>
      </w:pPr>
    </w:p>
    <w:p w:rsidR="0051022F" w:rsidRDefault="00B2573E" w:rsidP="0051022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р</w:t>
      </w:r>
      <w:r w:rsidR="0051022F" w:rsidRPr="00C50B6F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r w:rsidR="0051022F" w:rsidRPr="00C50B6F">
        <w:rPr>
          <w:rFonts w:ascii="Arial" w:hAnsi="Arial" w:cs="Arial"/>
          <w:sz w:val="24"/>
          <w:szCs w:val="24"/>
        </w:rPr>
        <w:t xml:space="preserve"> Администрации</w:t>
      </w:r>
    </w:p>
    <w:p w:rsidR="0051022F" w:rsidRDefault="0051022F" w:rsidP="0051022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городского округа Жуковский</w:t>
      </w:r>
      <w:r w:rsidRPr="00C50B6F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ab/>
      </w:r>
      <w:r w:rsidR="00B2573E">
        <w:rPr>
          <w:rFonts w:ascii="Arial" w:hAnsi="Arial" w:cs="Arial"/>
          <w:sz w:val="24"/>
          <w:szCs w:val="24"/>
        </w:rPr>
        <w:t>Т.В. Виноградова</w:t>
      </w:r>
    </w:p>
    <w:p w:rsidR="00841859" w:rsidRDefault="00841859" w:rsidP="0051022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41859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0608A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18.10.2016 № 1507</w:t>
      </w:r>
    </w:p>
    <w:p w:rsidR="0090608A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90608A">
        <w:rPr>
          <w:rFonts w:ascii="Arial" w:hAnsi="Arial" w:cs="Arial"/>
          <w:b/>
          <w:sz w:val="24"/>
          <w:szCs w:val="24"/>
        </w:rPr>
        <w:t>ПОЛОЖЕНИЕ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90608A">
        <w:rPr>
          <w:rFonts w:ascii="Arial" w:hAnsi="Arial" w:cs="Arial"/>
          <w:b/>
          <w:sz w:val="24"/>
          <w:szCs w:val="24"/>
        </w:rPr>
        <w:t>об оплате труда работников Муниципального бюджетного учреждения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90608A">
        <w:rPr>
          <w:rFonts w:ascii="Arial" w:hAnsi="Arial" w:cs="Arial"/>
          <w:b/>
          <w:sz w:val="24"/>
          <w:szCs w:val="24"/>
        </w:rPr>
        <w:t>городского округа Жуковский «Многофункциональный центр предоставления государственных и муниципальных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608A">
        <w:rPr>
          <w:rFonts w:ascii="Arial" w:hAnsi="Arial" w:cs="Arial"/>
          <w:b/>
          <w:sz w:val="24"/>
          <w:szCs w:val="24"/>
        </w:rPr>
        <w:t>услуг»</w:t>
      </w:r>
    </w:p>
    <w:p w:rsid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90608A">
        <w:rPr>
          <w:rFonts w:ascii="Arial" w:hAnsi="Arial" w:cs="Arial"/>
          <w:b/>
          <w:sz w:val="24"/>
          <w:szCs w:val="24"/>
        </w:rPr>
        <w:t>1. ОБЩИЕ ПОЛОЖЕНИЯ</w:t>
      </w:r>
    </w:p>
    <w:p w:rsidR="0090608A" w:rsidRDefault="0090608A" w:rsidP="0090608A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Настоящее Положение устанавливает порядок оплаты труда, компенсационных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выплат и выплат стимулирующего характера работников Муниципального бюджетного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учреждения городского округа Жуковский «Многофункциональный центр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государственных и муниципальных услуг» (далее - Положение).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Система оплаты труда работников МФЦ разработана с учетом отраслевых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особенностей профессиональной деятельности работников.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Настоящее Положение регулирует порядок и размер оплаты труда работников и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включает в себя: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должностные оклады по занимаемым должностям с учетом повышающего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коэффициента, установленные в размерах согласно Приложению №1 к настоящему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Положению.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условия осуществления и размеры выплат компенсационного характера;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условия осуществления и размеры выплат стимулирующего характера;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г)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другие вопросы оплаты труда в учреждении.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1.5.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Перечень должностей с указанием оклада по каждой должности утверждается штатным расписанием учреждения.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1.6.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 xml:space="preserve">Размеры должностных окладов по должностям работников, указанных </w:t>
      </w:r>
      <w:r w:rsidRPr="0090608A">
        <w:rPr>
          <w:rFonts w:ascii="Arial" w:hAnsi="Arial" w:cs="Arial"/>
          <w:sz w:val="24"/>
          <w:szCs w:val="24"/>
        </w:rPr>
        <w:t>в штатном расписании,</w:t>
      </w:r>
      <w:r w:rsidRPr="0090608A">
        <w:rPr>
          <w:rFonts w:ascii="Arial" w:hAnsi="Arial" w:cs="Arial"/>
          <w:sz w:val="24"/>
          <w:szCs w:val="24"/>
        </w:rPr>
        <w:t xml:space="preserve"> индексируются соразмерно изменению должностного оклада специалиста II категории, применяемого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 в Московской области.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1.7.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Работнику Учреждения выплачиваются: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ежемесячно должностной оклад;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ежемесячная надбавка к должностному окладу за сложность, напряженность и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специальный режим работы;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ежемесячная премия по результатам работы;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г)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д)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единовременная материальная помощь в размере двух должностных окладов;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е)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премия по результатам работы за квартал, год;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ж)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дополнительное поощрение по усмотрению директора МФЦ в пределах средств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экономии фонда оплаты труда.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90608A">
        <w:rPr>
          <w:rFonts w:ascii="Arial" w:hAnsi="Arial" w:cs="Arial"/>
          <w:b/>
          <w:sz w:val="24"/>
          <w:szCs w:val="24"/>
        </w:rPr>
        <w:t>2. ВЫПЛАТЫ КОМПЕНСАЦИОННО</w:t>
      </w:r>
      <w:r w:rsidRPr="0090608A">
        <w:rPr>
          <w:rFonts w:ascii="Arial" w:hAnsi="Arial" w:cs="Arial"/>
          <w:b/>
          <w:sz w:val="24"/>
          <w:szCs w:val="24"/>
        </w:rPr>
        <w:t xml:space="preserve">ГО И СТИМУЛИРУЮЩЕГО </w:t>
      </w:r>
      <w:r w:rsidRPr="0090608A">
        <w:rPr>
          <w:rFonts w:ascii="Arial" w:hAnsi="Arial" w:cs="Arial"/>
          <w:b/>
          <w:sz w:val="24"/>
          <w:szCs w:val="24"/>
        </w:rPr>
        <w:t>ХАРАКТЕРА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В соответствии с выполнением работ с особыми условиями труда, работникам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устанавливаются следующие виды выплат: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для всех работников устанавливается ежемесячная надбавка к должностному окладу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за сложность, напряженность и специальный режим работы в размере от 20 до 70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процентов должностного оклада;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работникам устанавливается ежемесячная премия по результатам работы в размере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от 10 до 100 процентов должностного оклада;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ежемесячная надбавка за выслугу лет к должностному окладу устанавливается в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следующем размере: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При стаже работы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0608A">
        <w:rPr>
          <w:rFonts w:ascii="Arial" w:hAnsi="Arial" w:cs="Arial"/>
          <w:sz w:val="24"/>
          <w:szCs w:val="24"/>
        </w:rPr>
        <w:t>(процентов)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от 1 до 5 лет включительно</w:t>
      </w:r>
      <w:r w:rsidRPr="0090608A">
        <w:rPr>
          <w:rFonts w:ascii="Arial" w:hAnsi="Arial" w:cs="Arial"/>
          <w:sz w:val="24"/>
          <w:szCs w:val="24"/>
        </w:rPr>
        <w:tab/>
        <w:t>10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от 5 до 10 лет включительно</w:t>
      </w:r>
      <w:r w:rsidRPr="0090608A">
        <w:rPr>
          <w:rFonts w:ascii="Arial" w:hAnsi="Arial" w:cs="Arial"/>
          <w:sz w:val="24"/>
          <w:szCs w:val="24"/>
        </w:rPr>
        <w:tab/>
        <w:t>15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от 10 до 15 лет включительно</w:t>
      </w:r>
      <w:r w:rsidRPr="0090608A">
        <w:rPr>
          <w:rFonts w:ascii="Arial" w:hAnsi="Arial" w:cs="Arial"/>
          <w:sz w:val="24"/>
          <w:szCs w:val="24"/>
        </w:rPr>
        <w:tab/>
        <w:t>20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свыше 15 лет</w:t>
      </w:r>
      <w:r w:rsidRPr="0090608A">
        <w:rPr>
          <w:rFonts w:ascii="Arial" w:hAnsi="Arial" w:cs="Arial"/>
          <w:sz w:val="24"/>
          <w:szCs w:val="24"/>
        </w:rPr>
        <w:tab/>
        <w:t>30</w:t>
      </w: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Исчисление стажа работы, дающего право на получение ежемесячной надбавки за выслугу лет, производится в порядке согласно Приложению № 2 к настоящему Положению, комиссией Учреждения по установлению стажа, назначаемой руководителем учреждения,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г)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единовременная материальная помощь в размере двух должностных окладов.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Установление иных выплат стимулирующего</w:t>
      </w:r>
      <w:r>
        <w:rPr>
          <w:rFonts w:ascii="Arial" w:hAnsi="Arial" w:cs="Arial"/>
          <w:sz w:val="24"/>
          <w:szCs w:val="24"/>
        </w:rPr>
        <w:t xml:space="preserve"> характера </w:t>
      </w:r>
      <w:r w:rsidRPr="0090608A">
        <w:rPr>
          <w:rFonts w:ascii="Arial" w:hAnsi="Arial" w:cs="Arial"/>
          <w:sz w:val="24"/>
          <w:szCs w:val="24"/>
        </w:rPr>
        <w:t>производится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руководителем учреждения, в пределах средств экономии фонда оплаты труда, с учетом показателей результатов труда, устанавливаемых локальными нормативными актами учреждения с учётом мнения представительного органа работников или коллективным договором.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2.3.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Премирование работников по результатам их труда является правом, а не обязанностью работодателя.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2.4.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Руководителю учреждения размер и условия выплаты ежемесячной премии по результатам работы и других выплат стимулирующего характера устанавливаются Учредителем.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2.5.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Учреждение осуществляет выплаты стимулирующего характера из бюджетных средств в пределах фонда оплаты труда и средств, полученных от платных дополнительных предусмотренных уставом учреждения услуг, предпринимательской и иной приносящей доход деятельности.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2.6.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Работникам МФЦ один раз в календарном году выплачивается материальная помощь в размере 2 окладов, установленных на дату выплаты указанной материальной помощи на основании личного заявления работника при предоставлении ему ежегодного основного оплачиваемого отпуска, или его части.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2.7.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 xml:space="preserve">В случае неиспользования работником права на ежегодный основной оплачиваемый отпуск либо отсутствия права на него, а </w:t>
      </w:r>
      <w:r w:rsidRPr="0090608A">
        <w:rPr>
          <w:rFonts w:ascii="Arial" w:hAnsi="Arial" w:cs="Arial"/>
          <w:sz w:val="24"/>
          <w:szCs w:val="24"/>
        </w:rPr>
        <w:t>также</w:t>
      </w:r>
      <w:r w:rsidRPr="0090608A">
        <w:rPr>
          <w:rFonts w:ascii="Arial" w:hAnsi="Arial" w:cs="Arial"/>
          <w:sz w:val="24"/>
          <w:szCs w:val="24"/>
        </w:rPr>
        <w:t xml:space="preserve"> в случае длительной болезни или по другим уважительным причинам, по заявлению работника материальная помощь может быть выплачена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2.8.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В качестве дополнительного поощрения за выполнение важных (срочных) работ, заданий и поручений, участие в проектах, наставничество на основании приказа руководителя учреждения отдельные работники могут быть премированы единовременной премией.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2.9.</w:t>
      </w:r>
      <w:r>
        <w:rPr>
          <w:rFonts w:ascii="Arial" w:hAnsi="Arial" w:cs="Arial"/>
          <w:sz w:val="24"/>
          <w:szCs w:val="24"/>
        </w:rPr>
        <w:t xml:space="preserve"> </w:t>
      </w:r>
      <w:r w:rsidRPr="0090608A">
        <w:rPr>
          <w:rFonts w:ascii="Arial" w:hAnsi="Arial" w:cs="Arial"/>
          <w:sz w:val="24"/>
          <w:szCs w:val="24"/>
        </w:rPr>
        <w:t>Предельный уровень соотношения средней заработной платы руководителя учреждения к средней заработной плате работников за отчетный год устанавливается в кратности от 1 до 4, заместителю директора и главному бухгалтеру - в кратности - от 1 до 3,6.</w:t>
      </w: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Приложению №1 к Положению</w:t>
      </w:r>
    </w:p>
    <w:p w:rsid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Должностные оклады работников Муниципального бюджетного учреждения</w:t>
      </w:r>
    </w:p>
    <w:p w:rsidR="0090608A" w:rsidRPr="0090608A" w:rsidRDefault="0090608A" w:rsidP="0090608A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  <w:r w:rsidRPr="0090608A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 государственных и муниципальных услуг»</w:t>
      </w: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5686"/>
        <w:gridCol w:w="3974"/>
      </w:tblGrid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 xml:space="preserve">Коэффициент (соотношение должностного оклада с должностным окладом специалиста </w:t>
            </w:r>
            <w:r w:rsidR="00D37E87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90608A">
              <w:rPr>
                <w:rFonts w:ascii="Arial" w:hAnsi="Arial" w:cs="Arial"/>
                <w:sz w:val="24"/>
                <w:szCs w:val="24"/>
              </w:rPr>
              <w:t xml:space="preserve"> категории)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3,6-3,8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3,1-3,4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3,0-3,2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2,1-2,3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2,4-2,6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2,0-2,2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 xml:space="preserve">Главный специалист (оператор окна, </w:t>
            </w:r>
            <w:proofErr w:type="spellStart"/>
            <w:r w:rsidRPr="0090608A">
              <w:rPr>
                <w:rFonts w:ascii="Arial" w:hAnsi="Arial" w:cs="Arial"/>
                <w:sz w:val="24"/>
                <w:szCs w:val="24"/>
              </w:rPr>
              <w:t>бэк</w:t>
            </w:r>
            <w:proofErr w:type="spellEnd"/>
            <w:r w:rsidRPr="0090608A">
              <w:rPr>
                <w:rFonts w:ascii="Arial" w:hAnsi="Arial" w:cs="Arial"/>
                <w:sz w:val="24"/>
                <w:szCs w:val="24"/>
              </w:rPr>
              <w:t>-офис)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 xml:space="preserve">Ведущий специалист (администратор, </w:t>
            </w:r>
            <w:r w:rsidRPr="0090608A">
              <w:rPr>
                <w:rFonts w:ascii="Arial" w:hAnsi="Arial" w:cs="Arial"/>
                <w:sz w:val="24"/>
                <w:szCs w:val="24"/>
                <w:lang w:val="en-US"/>
              </w:rPr>
              <w:t>call</w:t>
            </w:r>
            <w:r w:rsidRPr="0090608A">
              <w:rPr>
                <w:rFonts w:ascii="Arial" w:hAnsi="Arial" w:cs="Arial"/>
                <w:sz w:val="24"/>
                <w:szCs w:val="24"/>
              </w:rPr>
              <w:t xml:space="preserve"> центр, делопроизводитель)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Ведущий специалист (курьер)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D37E87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0608A" w:rsidRPr="009060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Специалист - консультант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1,6-1,7</w:t>
            </w:r>
          </w:p>
        </w:tc>
      </w:tr>
      <w:tr w:rsidR="0090608A" w:rsidRPr="0090608A" w:rsidTr="00A138ED">
        <w:tc>
          <w:tcPr>
            <w:tcW w:w="688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686" w:type="dxa"/>
            <w:shd w:val="clear" w:color="auto" w:fill="FFFFFF"/>
            <w:hideMark/>
          </w:tcPr>
          <w:p w:rsidR="0090608A" w:rsidRPr="0090608A" w:rsidRDefault="0090608A" w:rsidP="009060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Главный юрисконсульт</w:t>
            </w:r>
          </w:p>
        </w:tc>
        <w:tc>
          <w:tcPr>
            <w:tcW w:w="3974" w:type="dxa"/>
            <w:shd w:val="clear" w:color="auto" w:fill="FFFFFF"/>
            <w:hideMark/>
          </w:tcPr>
          <w:p w:rsidR="0090608A" w:rsidRPr="0090608A" w:rsidRDefault="0090608A" w:rsidP="00D37E8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08A">
              <w:rPr>
                <w:rFonts w:ascii="Arial" w:hAnsi="Arial" w:cs="Arial"/>
                <w:sz w:val="24"/>
                <w:szCs w:val="24"/>
              </w:rPr>
              <w:t>2,0-2,3</w:t>
            </w:r>
          </w:p>
        </w:tc>
      </w:tr>
    </w:tbl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69295E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</w:p>
    <w:p w:rsidR="0069295E" w:rsidRPr="0069295E" w:rsidRDefault="0069295E" w:rsidP="0069295E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69295E">
        <w:rPr>
          <w:rFonts w:ascii="Arial" w:hAnsi="Arial" w:cs="Arial"/>
          <w:sz w:val="24"/>
          <w:szCs w:val="24"/>
        </w:rPr>
        <w:t>Приложение № 2 к Положению</w:t>
      </w:r>
    </w:p>
    <w:p w:rsidR="0069295E" w:rsidRDefault="0069295E" w:rsidP="0069295E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</w:p>
    <w:p w:rsidR="0069295E" w:rsidRDefault="0069295E" w:rsidP="0069295E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sz w:val="24"/>
          <w:szCs w:val="24"/>
        </w:rPr>
      </w:pPr>
    </w:p>
    <w:p w:rsidR="0069295E" w:rsidRPr="0069295E" w:rsidRDefault="0069295E" w:rsidP="0069295E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69295E">
        <w:rPr>
          <w:rFonts w:ascii="Arial" w:hAnsi="Arial" w:cs="Arial"/>
          <w:b/>
          <w:sz w:val="24"/>
          <w:szCs w:val="24"/>
        </w:rPr>
        <w:t>ПОЛОЖЕНИЕ</w:t>
      </w:r>
    </w:p>
    <w:p w:rsidR="0090608A" w:rsidRPr="0069295E" w:rsidRDefault="0069295E" w:rsidP="0069295E">
      <w:pPr>
        <w:shd w:val="clear" w:color="auto" w:fill="FFFFFF"/>
        <w:tabs>
          <w:tab w:val="left" w:pos="7632"/>
        </w:tabs>
        <w:jc w:val="center"/>
        <w:rPr>
          <w:rFonts w:ascii="Arial" w:hAnsi="Arial" w:cs="Arial"/>
          <w:b/>
          <w:sz w:val="24"/>
          <w:szCs w:val="24"/>
        </w:rPr>
      </w:pPr>
      <w:r w:rsidRPr="0069295E">
        <w:rPr>
          <w:rFonts w:ascii="Arial" w:hAnsi="Arial" w:cs="Arial"/>
          <w:b/>
          <w:sz w:val="24"/>
          <w:szCs w:val="24"/>
        </w:rPr>
        <w:t>о порядке исчисления стажа работы работников Муниципального бюджетного</w:t>
      </w:r>
      <w:r w:rsidRPr="0069295E">
        <w:rPr>
          <w:rFonts w:ascii="Arial" w:hAnsi="Arial" w:cs="Arial"/>
          <w:b/>
          <w:sz w:val="24"/>
          <w:szCs w:val="24"/>
        </w:rPr>
        <w:t xml:space="preserve"> </w:t>
      </w:r>
      <w:r w:rsidRPr="0069295E">
        <w:rPr>
          <w:rFonts w:ascii="Arial" w:hAnsi="Arial" w:cs="Arial"/>
          <w:b/>
          <w:sz w:val="24"/>
          <w:szCs w:val="24"/>
        </w:rPr>
        <w:t>учреждения городского округа Жуковский</w:t>
      </w:r>
      <w:r w:rsidRPr="0069295E">
        <w:rPr>
          <w:rFonts w:ascii="Arial" w:hAnsi="Arial" w:cs="Arial"/>
          <w:b/>
          <w:sz w:val="24"/>
          <w:szCs w:val="24"/>
        </w:rPr>
        <w:t xml:space="preserve"> </w:t>
      </w:r>
      <w:r w:rsidRPr="0069295E">
        <w:rPr>
          <w:rFonts w:ascii="Arial" w:hAnsi="Arial" w:cs="Arial"/>
          <w:b/>
          <w:sz w:val="24"/>
          <w:szCs w:val="24"/>
        </w:rPr>
        <w:t>«Многофункциональный центр предоставления государственных и муниципальных</w:t>
      </w:r>
      <w:r w:rsidRPr="0069295E">
        <w:rPr>
          <w:rFonts w:ascii="Arial" w:hAnsi="Arial" w:cs="Arial"/>
          <w:b/>
          <w:sz w:val="24"/>
          <w:szCs w:val="24"/>
        </w:rPr>
        <w:t xml:space="preserve"> </w:t>
      </w:r>
      <w:r w:rsidRPr="0069295E">
        <w:rPr>
          <w:rFonts w:ascii="Arial" w:hAnsi="Arial" w:cs="Arial"/>
          <w:b/>
          <w:sz w:val="24"/>
          <w:szCs w:val="24"/>
        </w:rPr>
        <w:t>услуг»</w:t>
      </w:r>
      <w:r w:rsidRPr="0069295E">
        <w:rPr>
          <w:rFonts w:ascii="Arial" w:hAnsi="Arial" w:cs="Arial"/>
          <w:b/>
          <w:sz w:val="24"/>
          <w:szCs w:val="24"/>
        </w:rPr>
        <w:t xml:space="preserve"> </w:t>
      </w:r>
      <w:r w:rsidRPr="0069295E">
        <w:rPr>
          <w:rFonts w:ascii="Arial" w:hAnsi="Arial" w:cs="Arial"/>
          <w:b/>
          <w:sz w:val="24"/>
          <w:szCs w:val="24"/>
        </w:rPr>
        <w:t>для выплаты ежемесячной надбавки за выслугу лет</w:t>
      </w:r>
      <w:r w:rsidRPr="0069295E">
        <w:rPr>
          <w:rFonts w:ascii="Arial" w:hAnsi="Arial" w:cs="Arial"/>
          <w:b/>
          <w:sz w:val="24"/>
          <w:szCs w:val="24"/>
        </w:rPr>
        <w:t xml:space="preserve"> </w:t>
      </w:r>
      <w:r w:rsidRPr="0069295E">
        <w:rPr>
          <w:rFonts w:ascii="Arial" w:hAnsi="Arial" w:cs="Arial"/>
          <w:b/>
          <w:sz w:val="24"/>
          <w:szCs w:val="24"/>
        </w:rPr>
        <w:t>к должностному окладу</w:t>
      </w: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44496" w:rsidRPr="00644496" w:rsidRDefault="00644496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Настоящее Положение устанавливает порядок исчисления стажа работы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работников Муниципального бюджетного учреждения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«Многофункциональный центр предоставления государственных и муниципальных услуг»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(далее - МФЦ), дающего право на получение ежемесячной надбавки за выслугу лет к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должностному окладу.</w:t>
      </w:r>
    </w:p>
    <w:p w:rsidR="00644496" w:rsidRPr="00644496" w:rsidRDefault="00644496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В стаж работы, дающий право работникам МФЦ на получение ежемесячной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надбавки за выслугу лет к должностному окладу, включаются:</w:t>
      </w:r>
    </w:p>
    <w:p w:rsidR="00644496" w:rsidRPr="00644496" w:rsidRDefault="00644496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время работы в организациях независимо от организационно-правовой формы на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должностях руководителей, специалистов и служащих, связанных с организацией и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предоставлением государственных и негосударственных услуг, с использованием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информационно-коммуникационных технологий, а также на должностях руководителей,</w:t>
      </w:r>
      <w:r>
        <w:rPr>
          <w:rFonts w:ascii="Arial" w:hAnsi="Arial" w:cs="Arial"/>
          <w:sz w:val="24"/>
          <w:szCs w:val="24"/>
        </w:rPr>
        <w:t xml:space="preserve"> </w:t>
      </w:r>
      <w:r w:rsidRPr="00644496">
        <w:rPr>
          <w:rFonts w:ascii="Arial" w:hAnsi="Arial" w:cs="Arial"/>
          <w:sz w:val="24"/>
          <w:szCs w:val="24"/>
        </w:rPr>
        <w:t>специалистов и служащих по соответствующему направлению деятельности;</w:t>
      </w:r>
    </w:p>
    <w:p w:rsidR="00644496" w:rsidRPr="00644496" w:rsidRDefault="00644496" w:rsidP="00644496">
      <w:pPr>
        <w:numPr>
          <w:ilvl w:val="0"/>
          <w:numId w:val="21"/>
        </w:num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время прохождения государственной и муниципальной службы;</w:t>
      </w:r>
    </w:p>
    <w:p w:rsidR="00644496" w:rsidRDefault="00644496" w:rsidP="00644496">
      <w:pPr>
        <w:numPr>
          <w:ilvl w:val="0"/>
          <w:numId w:val="21"/>
        </w:num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время нахождения в отпуске по уходу за ребенком до достижения им возраста трех лет</w:t>
      </w:r>
      <w:r>
        <w:rPr>
          <w:rFonts w:ascii="Arial" w:hAnsi="Arial" w:cs="Arial"/>
          <w:sz w:val="24"/>
          <w:szCs w:val="24"/>
        </w:rPr>
        <w:t>;</w:t>
      </w:r>
    </w:p>
    <w:p w:rsidR="00644496" w:rsidRPr="00644496" w:rsidRDefault="00644496" w:rsidP="00644496">
      <w:pPr>
        <w:numPr>
          <w:ilvl w:val="0"/>
          <w:numId w:val="21"/>
        </w:num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иные периоды времени, аналогичные периодам времени, установленным законодательством о государственной гражданской службе для включения в стаж государственной гражданской службы;</w:t>
      </w:r>
    </w:p>
    <w:p w:rsidR="00644496" w:rsidRPr="00644496" w:rsidRDefault="00644496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5) 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1 пункта 2 настоящего Положения.</w:t>
      </w:r>
    </w:p>
    <w:p w:rsidR="00644496" w:rsidRPr="00644496" w:rsidRDefault="00644496" w:rsidP="00644496">
      <w:pPr>
        <w:numPr>
          <w:ilvl w:val="0"/>
          <w:numId w:val="22"/>
        </w:num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 xml:space="preserve">Основным документом для определения стажа работы является трудовая книжка. В </w:t>
      </w:r>
      <w:bookmarkStart w:id="0" w:name="_GoBack"/>
      <w:bookmarkEnd w:id="0"/>
      <w:r w:rsidRPr="00644496">
        <w:rPr>
          <w:rFonts w:ascii="Arial" w:hAnsi="Arial" w:cs="Arial"/>
          <w:sz w:val="24"/>
          <w:szCs w:val="24"/>
        </w:rPr>
        <w:t>случаях, когда стаж работы не подтверждается записями в трудовой книжке, он может быть подтвержден иными документами, соответствующими установленным законодательством требованиям.</w:t>
      </w:r>
    </w:p>
    <w:p w:rsidR="00644496" w:rsidRPr="00644496" w:rsidRDefault="00644496" w:rsidP="00644496">
      <w:pPr>
        <w:numPr>
          <w:ilvl w:val="0"/>
          <w:numId w:val="22"/>
        </w:num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644496" w:rsidRPr="00644496" w:rsidRDefault="00644496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4496">
        <w:rPr>
          <w:rFonts w:ascii="Arial" w:hAnsi="Arial" w:cs="Arial"/>
          <w:sz w:val="24"/>
          <w:szCs w:val="24"/>
        </w:rPr>
        <w:t>Если у работника МФЦ МО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90608A" w:rsidRDefault="0090608A" w:rsidP="00644496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608A" w:rsidRDefault="0090608A" w:rsidP="0090608A">
      <w:pPr>
        <w:shd w:val="clear" w:color="auto" w:fill="FFFFFF"/>
        <w:tabs>
          <w:tab w:val="left" w:pos="763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sectPr w:rsidR="0090608A" w:rsidSect="005102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270CE5"/>
    <w:multiLevelType w:val="singleLevel"/>
    <w:tmpl w:val="AE3256A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28697C30"/>
    <w:multiLevelType w:val="singleLevel"/>
    <w:tmpl w:val="0E52DCE8"/>
    <w:lvl w:ilvl="0">
      <w:start w:val="2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1"/>
  </w:num>
  <w:num w:numId="16">
    <w:abstractNumId w:val="6"/>
  </w:num>
  <w:num w:numId="17">
    <w:abstractNumId w:val="0"/>
  </w:num>
  <w:num w:numId="18">
    <w:abstractNumId w:val="2"/>
  </w:num>
  <w:num w:numId="19">
    <w:abstractNumId w:val="7"/>
  </w:num>
  <w:num w:numId="20">
    <w:abstractNumId w:val="7"/>
  </w:num>
  <w:num w:numId="21">
    <w:abstractNumId w:val="4"/>
    <w:lvlOverride w:ilvl="0">
      <w:startOverride w:val="2"/>
    </w:lvlOverride>
  </w:num>
  <w:num w:numId="22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7"/>
    <w:rsid w:val="0013593E"/>
    <w:rsid w:val="002C0CA0"/>
    <w:rsid w:val="003E6B4B"/>
    <w:rsid w:val="004C40D4"/>
    <w:rsid w:val="004F7AD2"/>
    <w:rsid w:val="0051022F"/>
    <w:rsid w:val="00644496"/>
    <w:rsid w:val="0069295E"/>
    <w:rsid w:val="007A5297"/>
    <w:rsid w:val="007F3D58"/>
    <w:rsid w:val="00841859"/>
    <w:rsid w:val="0090608A"/>
    <w:rsid w:val="009C2DB2"/>
    <w:rsid w:val="009C7955"/>
    <w:rsid w:val="00A138ED"/>
    <w:rsid w:val="00AD716C"/>
    <w:rsid w:val="00B2573E"/>
    <w:rsid w:val="00C96C17"/>
    <w:rsid w:val="00D37E8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448D"/>
  <w15:chartTrackingRefBased/>
  <w15:docId w15:val="{A195F1D0-58B7-4077-8F8F-1C998F4A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1022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2018-12-17T13:52:00Z</dcterms:created>
  <dcterms:modified xsi:type="dcterms:W3CDTF">2018-12-17T15:01:00Z</dcterms:modified>
</cp:coreProperties>
</file>